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both"/>
        <w:rPr>
          <w:rFonts w:cs="Arial" w:eastAsiaTheme="minorEastAsia"/>
          <w:bCs/>
          <w:sz w:val="28"/>
          <w:szCs w:val="28"/>
          <w:lang w:eastAsia="zh-CN"/>
        </w:rPr>
      </w:pPr>
      <w:r>
        <w:rPr>
          <w:rFonts w:cs="Arial"/>
          <w:bCs/>
          <w:sz w:val="28"/>
        </w:rPr>
        <w:t>3GPP TSG RAN WG1 Meeting #8</w:t>
      </w:r>
      <w:r>
        <w:rPr>
          <w:rFonts w:hint="eastAsia" w:cs="Arial" w:eastAsiaTheme="minorEastAsia"/>
          <w:bCs/>
          <w:sz w:val="28"/>
          <w:lang w:eastAsia="zh-CN"/>
        </w:rPr>
        <w:t>9</w:t>
      </w:r>
      <w:r>
        <w:rPr>
          <w:rFonts w:cs="Arial" w:eastAsiaTheme="minorEastAsia"/>
          <w:bCs/>
          <w:sz w:val="28"/>
          <w:lang w:eastAsia="zh-CN"/>
        </w:rPr>
        <w:tab/>
      </w:r>
      <w:r>
        <w:rPr>
          <w:rFonts w:cs="Arial" w:eastAsiaTheme="minorEastAsia"/>
          <w:bCs/>
          <w:sz w:val="28"/>
          <w:lang w:eastAsia="zh-CN"/>
        </w:rPr>
        <w:tab/>
      </w:r>
      <w:r>
        <w:rPr>
          <w:rFonts w:hint="eastAsia" w:cs="Arial"/>
          <w:bCs/>
          <w:sz w:val="28"/>
          <w:szCs w:val="28"/>
        </w:rPr>
        <w:t>R1-1707161</w:t>
      </w:r>
    </w:p>
    <w:p>
      <w:pPr>
        <w:spacing w:line="480" w:lineRule="auto"/>
        <w:rPr>
          <w:rFonts w:ascii="Arial" w:hAnsi="Arial" w:cs="Arial"/>
          <w:b/>
          <w:sz w:val="28"/>
        </w:rPr>
      </w:pPr>
      <w:r>
        <w:rPr>
          <w:rFonts w:ascii="Arial" w:hAnsi="Arial" w:cs="Arial"/>
          <w:b/>
          <w:sz w:val="28"/>
        </w:rPr>
        <w:t>Hangzhou, China, 15</w:t>
      </w:r>
      <w:r>
        <w:rPr>
          <w:rFonts w:ascii="Arial" w:hAnsi="Arial" w:cs="Arial"/>
          <w:b/>
          <w:sz w:val="28"/>
          <w:vertAlign w:val="superscript"/>
        </w:rPr>
        <w:t>th</w:t>
      </w:r>
      <w:r>
        <w:rPr>
          <w:rFonts w:ascii="Arial" w:hAnsi="Arial" w:cs="Arial"/>
          <w:b/>
          <w:sz w:val="28"/>
        </w:rPr>
        <w:t xml:space="preserve"> - 19</w:t>
      </w:r>
      <w:r>
        <w:rPr>
          <w:rFonts w:ascii="Arial" w:hAnsi="Arial" w:cs="Arial"/>
          <w:b/>
          <w:sz w:val="28"/>
          <w:vertAlign w:val="superscript"/>
        </w:rPr>
        <w:t>th</w:t>
      </w:r>
      <w:r>
        <w:rPr>
          <w:rFonts w:ascii="Arial" w:hAnsi="Arial" w:cs="Arial"/>
          <w:b/>
          <w:sz w:val="28"/>
        </w:rPr>
        <w:t xml:space="preserve"> May 2017</w:t>
      </w:r>
    </w:p>
    <w:p>
      <w:pPr>
        <w:pStyle w:val="13"/>
        <w:tabs>
          <w:tab w:val="left" w:pos="1800"/>
        </w:tabs>
        <w:spacing w:line="312" w:lineRule="auto"/>
        <w:ind w:left="1840" w:hanging="1840" w:hangingChars="833"/>
        <w:jc w:val="both"/>
        <w:rPr>
          <w:rFonts w:eastAsia="宋体"/>
          <w:sz w:val="22"/>
          <w:szCs w:val="22"/>
          <w:lang w:eastAsia="zh-CN"/>
        </w:rPr>
      </w:pPr>
      <w:r>
        <w:rPr>
          <w:rFonts w:eastAsia="宋体"/>
          <w:sz w:val="22"/>
          <w:szCs w:val="22"/>
          <w:lang w:eastAsia="zh-CN"/>
        </w:rPr>
        <w:t xml:space="preserve">Source: </w:t>
      </w:r>
      <w:r>
        <w:rPr>
          <w:rFonts w:eastAsia="宋体"/>
          <w:sz w:val="22"/>
          <w:szCs w:val="22"/>
          <w:lang w:eastAsia="zh-CN"/>
        </w:rPr>
        <w:tab/>
      </w:r>
      <w:r>
        <w:rPr>
          <w:rFonts w:eastAsia="宋体"/>
          <w:sz w:val="22"/>
          <w:szCs w:val="22"/>
          <w:lang w:eastAsia="zh-CN"/>
        </w:rPr>
        <w:t>ZTE</w:t>
      </w:r>
    </w:p>
    <w:p>
      <w:pPr>
        <w:pStyle w:val="13"/>
        <w:tabs>
          <w:tab w:val="left" w:pos="1800"/>
        </w:tabs>
        <w:spacing w:line="312" w:lineRule="auto"/>
        <w:ind w:left="1840" w:hanging="1840" w:hangingChars="833"/>
        <w:jc w:val="both"/>
        <w:rPr>
          <w:rFonts w:eastAsia="宋体"/>
          <w:sz w:val="22"/>
          <w:szCs w:val="22"/>
          <w:lang w:eastAsia="zh-CN"/>
        </w:rPr>
      </w:pPr>
      <w:r>
        <w:rPr>
          <w:rFonts w:hint="eastAsia" w:eastAsia="宋体"/>
          <w:sz w:val="22"/>
          <w:szCs w:val="22"/>
          <w:lang w:eastAsia="zh-CN"/>
        </w:rPr>
        <w:t>Title</w:t>
      </w:r>
      <w:r>
        <w:rPr>
          <w:rFonts w:eastAsia="宋体"/>
          <w:sz w:val="22"/>
          <w:szCs w:val="22"/>
          <w:lang w:eastAsia="zh-CN"/>
        </w:rPr>
        <w:t>:</w:t>
      </w:r>
      <w:r>
        <w:rPr>
          <w:rFonts w:hint="eastAsia" w:eastAsia="宋体"/>
          <w:sz w:val="22"/>
          <w:szCs w:val="22"/>
          <w:lang w:eastAsia="zh-CN"/>
        </w:rPr>
        <w:tab/>
      </w:r>
      <w:r>
        <w:rPr>
          <w:rFonts w:hint="eastAsia" w:eastAsia="宋体"/>
          <w:sz w:val="22"/>
          <w:szCs w:val="22"/>
          <w:lang w:eastAsia="zh-CN"/>
        </w:rPr>
        <w:t xml:space="preserve">SS Splitting among Different CORESETs and Blind Decoding                         </w:t>
      </w:r>
    </w:p>
    <w:p>
      <w:pPr>
        <w:pStyle w:val="13"/>
        <w:tabs>
          <w:tab w:val="left" w:pos="1800"/>
        </w:tabs>
        <w:spacing w:line="312" w:lineRule="auto"/>
        <w:ind w:left="1840" w:hanging="1840" w:hangingChars="833"/>
        <w:jc w:val="both"/>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ab/>
      </w:r>
      <w:r>
        <w:rPr>
          <w:rFonts w:hint="eastAsia" w:eastAsia="宋体"/>
          <w:sz w:val="22"/>
          <w:szCs w:val="22"/>
          <w:lang w:eastAsia="zh-CN"/>
        </w:rPr>
        <w:t>7</w:t>
      </w:r>
      <w:r>
        <w:rPr>
          <w:rFonts w:eastAsia="宋体"/>
          <w:sz w:val="22"/>
          <w:szCs w:val="22"/>
          <w:lang w:eastAsia="zh-CN"/>
        </w:rPr>
        <w:t>.1.3.1.</w:t>
      </w:r>
      <w:r>
        <w:rPr>
          <w:rFonts w:hint="eastAsia" w:eastAsia="宋体"/>
          <w:sz w:val="22"/>
          <w:szCs w:val="22"/>
          <w:lang w:eastAsia="zh-CN"/>
        </w:rPr>
        <w:t>2</w:t>
      </w:r>
    </w:p>
    <w:p>
      <w:pPr>
        <w:pStyle w:val="13"/>
        <w:tabs>
          <w:tab w:val="left" w:pos="1800"/>
        </w:tabs>
        <w:spacing w:line="312" w:lineRule="auto"/>
        <w:jc w:val="both"/>
        <w:rPr>
          <w:rFonts w:eastAsia="宋体"/>
          <w:sz w:val="22"/>
          <w:szCs w:val="22"/>
          <w:lang w:eastAsia="zh-CN"/>
        </w:rPr>
      </w:pPr>
      <w:r>
        <w:rPr>
          <w:rFonts w:eastAsia="宋体"/>
          <w:sz w:val="22"/>
          <w:szCs w:val="22"/>
          <w:lang w:eastAsia="zh-CN"/>
        </w:rPr>
        <w:t>Document for:</w:t>
      </w:r>
      <w:r>
        <w:rPr>
          <w:rFonts w:eastAsia="宋体"/>
          <w:sz w:val="22"/>
          <w:szCs w:val="22"/>
          <w:lang w:eastAsia="zh-CN"/>
        </w:rPr>
        <w:tab/>
      </w:r>
      <w:bookmarkStart w:id="1" w:name="DocumentFor"/>
      <w:bookmarkEnd w:id="1"/>
      <w:r>
        <w:rPr>
          <w:rFonts w:eastAsia="宋体"/>
          <w:sz w:val="22"/>
          <w:szCs w:val="22"/>
          <w:lang w:eastAsia="zh-CN"/>
        </w:rPr>
        <w:t xml:space="preserve">Discussion </w:t>
      </w:r>
      <w:r>
        <w:rPr>
          <w:rFonts w:hint="eastAsia" w:eastAsia="宋体"/>
          <w:sz w:val="22"/>
          <w:szCs w:val="22"/>
          <w:lang w:eastAsia="zh-CN"/>
        </w:rPr>
        <w:t>and Decision</w:t>
      </w:r>
    </w:p>
    <w:p>
      <w:pPr>
        <w:pBdr>
          <w:bottom w:val="single" w:color="auto" w:sz="4" w:space="1"/>
        </w:pBdr>
        <w:tabs>
          <w:tab w:val="left" w:pos="2552"/>
        </w:tabs>
        <w:jc w:val="both"/>
        <w:rPr>
          <w:rFonts w:ascii="Arial" w:hAnsi="Arial" w:cs="Arial"/>
        </w:rPr>
      </w:pPr>
    </w:p>
    <w:p>
      <w:pPr>
        <w:pStyle w:val="2"/>
        <w:jc w:val="both"/>
        <w:rPr>
          <w:lang w:val="en-US"/>
        </w:rPr>
      </w:pPr>
      <w:r>
        <w:t>Introduction</w:t>
      </w:r>
      <w:r>
        <w:rPr>
          <w:rFonts w:hint="eastAsia"/>
          <w:lang w:val="en-US"/>
        </w:rPr>
        <w:t xml:space="preserve">  </w:t>
      </w:r>
    </w:p>
    <w:p>
      <w:pPr>
        <w:jc w:val="both"/>
        <w:rPr>
          <w:sz w:val="22"/>
        </w:rPr>
      </w:pPr>
      <w:r>
        <w:rPr>
          <w:sz w:val="22"/>
        </w:rPr>
        <w:t>About search space and blind decoding, in previous meeting, there are agreements reached as follows:</w:t>
      </w:r>
    </w:p>
    <w:tbl>
      <w:tblPr>
        <w:tblStyle w:val="19"/>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0" w:type="dxa"/>
            <w:shd w:val="clear" w:color="auto" w:fill="auto"/>
          </w:tcPr>
          <w:p>
            <w:pPr>
              <w:jc w:val="both"/>
              <w:rPr>
                <w:b/>
                <w:sz w:val="22"/>
              </w:rPr>
            </w:pPr>
            <w:r>
              <w:rPr>
                <w:rFonts w:hint="eastAsia"/>
                <w:b/>
                <w:sz w:val="22"/>
              </w:rPr>
              <w:t>&lt;RAN1 NR Ad-Hoc (Jan.)&gt;</w:t>
            </w:r>
          </w:p>
          <w:p>
            <w:pPr>
              <w:jc w:val="both"/>
              <w:rPr>
                <w:b/>
                <w:sz w:val="22"/>
                <w:u w:val="single"/>
              </w:rPr>
            </w:pPr>
            <w:r>
              <w:rPr>
                <w:rFonts w:hint="eastAsia"/>
                <w:b/>
                <w:sz w:val="22"/>
                <w:highlight w:val="green"/>
                <w:u w:val="single"/>
              </w:rPr>
              <w:t>Agreements:</w:t>
            </w:r>
          </w:p>
          <w:p>
            <w:pPr>
              <w:numPr>
                <w:ilvl w:val="0"/>
                <w:numId w:val="6"/>
              </w:numPr>
              <w:spacing w:before="0" w:after="0" w:line="240" w:lineRule="auto"/>
              <w:jc w:val="both"/>
              <w:rPr>
                <w:sz w:val="22"/>
              </w:rPr>
            </w:pPr>
            <w:r>
              <w:rPr>
                <w:sz w:val="22"/>
              </w:rPr>
              <w:t>A control resource set is defined as a set of REGs under a given numerology</w:t>
            </w:r>
          </w:p>
          <w:p>
            <w:pPr>
              <w:numPr>
                <w:ilvl w:val="0"/>
                <w:numId w:val="6"/>
              </w:numPr>
              <w:spacing w:before="0" w:after="0" w:line="240" w:lineRule="auto"/>
              <w:jc w:val="both"/>
              <w:rPr>
                <w:sz w:val="22"/>
              </w:rPr>
            </w:pPr>
            <w:r>
              <w:rPr>
                <w:sz w:val="22"/>
              </w:rPr>
              <w:t>Control search space includes at least the following properties</w:t>
            </w:r>
          </w:p>
          <w:p>
            <w:pPr>
              <w:numPr>
                <w:ilvl w:val="1"/>
                <w:numId w:val="6"/>
              </w:numPr>
              <w:spacing w:before="0" w:after="0" w:line="240" w:lineRule="auto"/>
              <w:jc w:val="both"/>
              <w:rPr>
                <w:sz w:val="22"/>
              </w:rPr>
            </w:pPr>
            <w:r>
              <w:rPr>
                <w:sz w:val="22"/>
              </w:rPr>
              <w:t>Aggregation level(s)</w:t>
            </w:r>
          </w:p>
          <w:p>
            <w:pPr>
              <w:numPr>
                <w:ilvl w:val="1"/>
                <w:numId w:val="6"/>
              </w:numPr>
              <w:spacing w:before="0" w:after="0" w:line="240" w:lineRule="auto"/>
              <w:jc w:val="both"/>
              <w:rPr>
                <w:sz w:val="22"/>
              </w:rPr>
            </w:pPr>
            <w:r>
              <w:rPr>
                <w:sz w:val="22"/>
              </w:rPr>
              <w:t>Number of decoding candidates for each aggregation level</w:t>
            </w:r>
          </w:p>
          <w:p>
            <w:pPr>
              <w:numPr>
                <w:ilvl w:val="1"/>
                <w:numId w:val="6"/>
              </w:numPr>
              <w:spacing w:before="0" w:after="0" w:line="240" w:lineRule="auto"/>
              <w:jc w:val="both"/>
              <w:rPr>
                <w:sz w:val="22"/>
              </w:rPr>
            </w:pPr>
            <w:r>
              <w:rPr>
                <w:sz w:val="22"/>
              </w:rPr>
              <w:t>The set of CCEs for each decoding candidate</w:t>
            </w:r>
          </w:p>
          <w:p>
            <w:pPr>
              <w:numPr>
                <w:ilvl w:val="0"/>
                <w:numId w:val="6"/>
              </w:numPr>
              <w:spacing w:before="0" w:after="0" w:line="240" w:lineRule="auto"/>
              <w:jc w:val="both"/>
              <w:rPr>
                <w:sz w:val="22"/>
              </w:rPr>
            </w:pPr>
            <w:r>
              <w:rPr>
                <w:sz w:val="22"/>
              </w:rPr>
              <w:t>FFS: if any of the following properties belong to control resource set or control search space</w:t>
            </w:r>
          </w:p>
          <w:p>
            <w:pPr>
              <w:numPr>
                <w:ilvl w:val="1"/>
                <w:numId w:val="6"/>
              </w:numPr>
              <w:spacing w:before="0" w:after="0" w:line="240" w:lineRule="auto"/>
              <w:jc w:val="both"/>
              <w:rPr>
                <w:sz w:val="22"/>
              </w:rPr>
            </w:pPr>
            <w:r>
              <w:rPr>
                <w:sz w:val="22"/>
              </w:rPr>
              <w:t>Transmission/diversity scheme</w:t>
            </w:r>
          </w:p>
          <w:p>
            <w:pPr>
              <w:numPr>
                <w:ilvl w:val="1"/>
                <w:numId w:val="6"/>
              </w:numPr>
              <w:spacing w:before="0" w:after="0" w:line="240" w:lineRule="auto"/>
              <w:jc w:val="both"/>
              <w:rPr>
                <w:sz w:val="22"/>
              </w:rPr>
            </w:pPr>
            <w:r>
              <w:rPr>
                <w:sz w:val="22"/>
              </w:rPr>
              <w:t>CCE to REG mapping</w:t>
            </w:r>
          </w:p>
          <w:p>
            <w:pPr>
              <w:numPr>
                <w:ilvl w:val="1"/>
                <w:numId w:val="6"/>
              </w:numPr>
              <w:spacing w:before="0" w:after="0" w:line="240" w:lineRule="auto"/>
              <w:jc w:val="both"/>
              <w:rPr>
                <w:sz w:val="22"/>
              </w:rPr>
            </w:pPr>
            <w:r>
              <w:rPr>
                <w:sz w:val="22"/>
              </w:rPr>
              <w:t>RS structure</w:t>
            </w:r>
          </w:p>
          <w:p>
            <w:pPr>
              <w:numPr>
                <w:ilvl w:val="1"/>
                <w:numId w:val="6"/>
              </w:numPr>
              <w:spacing w:before="0" w:after="0" w:line="240" w:lineRule="auto"/>
              <w:jc w:val="both"/>
              <w:rPr>
                <w:sz w:val="22"/>
              </w:rPr>
            </w:pPr>
            <w:r>
              <w:rPr>
                <w:sz w:val="22"/>
              </w:rPr>
              <w:t>PRB bundling size</w:t>
            </w:r>
          </w:p>
          <w:p>
            <w:pPr>
              <w:numPr>
                <w:ilvl w:val="0"/>
                <w:numId w:val="6"/>
              </w:numPr>
              <w:spacing w:before="0" w:after="0" w:line="240" w:lineRule="auto"/>
              <w:jc w:val="both"/>
              <w:rPr>
                <w:sz w:val="22"/>
              </w:rPr>
            </w:pPr>
            <w:r>
              <w:rPr>
                <w:sz w:val="22"/>
              </w:rPr>
              <w:t>FFS: if the control resource sets can overlap or not</w:t>
            </w:r>
          </w:p>
          <w:p>
            <w:pPr>
              <w:numPr>
                <w:ilvl w:val="0"/>
                <w:numId w:val="6"/>
              </w:numPr>
              <w:spacing w:before="0" w:after="0" w:line="240" w:lineRule="auto"/>
              <w:jc w:val="both"/>
              <w:rPr>
                <w:sz w:val="22"/>
              </w:rPr>
            </w:pPr>
            <w:r>
              <w:rPr>
                <w:sz w:val="22"/>
              </w:rPr>
              <w:t xml:space="preserve">FFS: whether the mapping between control resource set and control search space is one-to-one or one-to-many </w:t>
            </w:r>
          </w:p>
          <w:p>
            <w:pPr>
              <w:jc w:val="both"/>
              <w:rPr>
                <w:sz w:val="22"/>
              </w:rPr>
            </w:pPr>
            <w:r>
              <w:rPr>
                <w:rFonts w:hint="eastAsia"/>
                <w:b/>
                <w:sz w:val="22"/>
              </w:rPr>
              <w:t xml:space="preserve">&lt;RAN1 </w:t>
            </w:r>
            <w:r>
              <w:rPr>
                <w:b/>
                <w:sz w:val="22"/>
              </w:rPr>
              <w:t>#88</w:t>
            </w:r>
            <w:r>
              <w:rPr>
                <w:rFonts w:hint="eastAsia"/>
                <w:b/>
                <w:sz w:val="22"/>
              </w:rPr>
              <w:t>&gt;</w:t>
            </w:r>
          </w:p>
          <w:p>
            <w:pPr>
              <w:jc w:val="both"/>
              <w:rPr>
                <w:b/>
                <w:sz w:val="22"/>
                <w:u w:val="single"/>
              </w:rPr>
            </w:pPr>
            <w:r>
              <w:rPr>
                <w:rFonts w:hint="eastAsia"/>
                <w:b/>
                <w:sz w:val="22"/>
                <w:highlight w:val="green"/>
                <w:u w:val="single"/>
              </w:rPr>
              <w:t>Agreements:</w:t>
            </w:r>
          </w:p>
          <w:p>
            <w:pPr>
              <w:numPr>
                <w:ilvl w:val="0"/>
                <w:numId w:val="6"/>
              </w:numPr>
              <w:spacing w:before="0" w:after="0" w:line="240" w:lineRule="auto"/>
              <w:jc w:val="both"/>
              <w:rPr>
                <w:sz w:val="22"/>
              </w:rPr>
            </w:pPr>
            <w:r>
              <w:rPr>
                <w:sz w:val="22"/>
              </w:rPr>
              <w:t>Multiple control resource sets can be overlapped in frequency and time for a UE</w:t>
            </w:r>
          </w:p>
          <w:p>
            <w:pPr>
              <w:numPr>
                <w:ilvl w:val="0"/>
                <w:numId w:val="6"/>
              </w:numPr>
              <w:spacing w:before="0" w:after="0" w:line="240" w:lineRule="auto"/>
              <w:jc w:val="both"/>
              <w:rPr>
                <w:sz w:val="22"/>
              </w:rPr>
            </w:pPr>
            <w:bookmarkStart w:id="2" w:name="OLE_LINK16"/>
            <w:bookmarkStart w:id="3" w:name="OLE_LINK17"/>
            <w:r>
              <w:rPr>
                <w:sz w:val="22"/>
              </w:rPr>
              <w:t>A search space in NR is associated with a single control resource se</w:t>
            </w:r>
            <w:bookmarkEnd w:id="2"/>
            <w:bookmarkEnd w:id="3"/>
            <w:r>
              <w:rPr>
                <w:sz w:val="22"/>
              </w:rPr>
              <w:t>t</w:t>
            </w:r>
          </w:p>
          <w:p>
            <w:pPr>
              <w:numPr>
                <w:ilvl w:val="1"/>
                <w:numId w:val="6"/>
              </w:numPr>
              <w:spacing w:before="0" w:after="0" w:line="240" w:lineRule="auto"/>
              <w:jc w:val="both"/>
              <w:rPr>
                <w:sz w:val="22"/>
              </w:rPr>
            </w:pPr>
            <w:r>
              <w:rPr>
                <w:sz w:val="22"/>
              </w:rPr>
              <w:t>The search spaces in different control resources are defined independently</w:t>
            </w:r>
          </w:p>
          <w:p>
            <w:pPr>
              <w:numPr>
                <w:ilvl w:val="0"/>
                <w:numId w:val="6"/>
              </w:numPr>
              <w:spacing w:before="0" w:after="0" w:line="240" w:lineRule="auto"/>
              <w:jc w:val="both"/>
              <w:rPr>
                <w:sz w:val="22"/>
              </w:rPr>
            </w:pPr>
            <w:bookmarkStart w:id="4" w:name="OLE_LINK19"/>
            <w:bookmarkStart w:id="5" w:name="OLE_LINK18"/>
            <w:r>
              <w:rPr>
                <w:sz w:val="22"/>
              </w:rPr>
              <w:t>The max number of BD candidates for a UE is defined independently of the number of control resource sets and the number of search spaces</w:t>
            </w:r>
            <w:bookmarkEnd w:id="4"/>
            <w:bookmarkEnd w:id="5"/>
            <w:r>
              <w:rPr>
                <w:sz w:val="22"/>
              </w:rPr>
              <w:t xml:space="preserve"> </w:t>
            </w:r>
          </w:p>
          <w:p>
            <w:pPr>
              <w:jc w:val="both"/>
              <w:rPr>
                <w:b/>
                <w:sz w:val="22"/>
                <w:u w:val="single"/>
              </w:rPr>
            </w:pPr>
            <w:r>
              <w:rPr>
                <w:rFonts w:hint="eastAsia"/>
                <w:b/>
                <w:sz w:val="22"/>
                <w:highlight w:val="green"/>
                <w:u w:val="single"/>
              </w:rPr>
              <w:t>Agreements:</w:t>
            </w:r>
          </w:p>
          <w:p>
            <w:pPr>
              <w:numPr>
                <w:ilvl w:val="0"/>
                <w:numId w:val="6"/>
              </w:numPr>
              <w:spacing w:before="0" w:after="0" w:line="240" w:lineRule="auto"/>
              <w:jc w:val="both"/>
              <w:rPr>
                <w:sz w:val="22"/>
              </w:rPr>
            </w:pPr>
            <w:r>
              <w:rPr>
                <w:sz w:val="22"/>
              </w:rPr>
              <w:t>Further study the following alternatives:</w:t>
            </w:r>
          </w:p>
          <w:p>
            <w:pPr>
              <w:numPr>
                <w:ilvl w:val="1"/>
                <w:numId w:val="6"/>
              </w:numPr>
              <w:spacing w:before="0" w:after="0" w:line="240" w:lineRule="auto"/>
              <w:jc w:val="both"/>
              <w:rPr>
                <w:sz w:val="22"/>
              </w:rPr>
            </w:pPr>
            <w:r>
              <w:rPr>
                <w:sz w:val="22"/>
              </w:rPr>
              <w:t>Alt 1: For a given control resource set, there is only one CCE to REG mapping scheme</w:t>
            </w:r>
          </w:p>
          <w:p>
            <w:pPr>
              <w:numPr>
                <w:ilvl w:val="1"/>
                <w:numId w:val="6"/>
              </w:numPr>
              <w:spacing w:before="0" w:after="0" w:line="240" w:lineRule="auto"/>
              <w:jc w:val="both"/>
              <w:rPr>
                <w:sz w:val="22"/>
              </w:rPr>
            </w:pPr>
            <w:r>
              <w:rPr>
                <w:sz w:val="22"/>
              </w:rPr>
              <w:t>Alt 2: For a given search space, there is only one CCE to REG mapping scheme</w:t>
            </w:r>
          </w:p>
        </w:tc>
      </w:tr>
    </w:tbl>
    <w:p>
      <w:pPr>
        <w:overflowPunct w:val="0"/>
        <w:autoSpaceDE w:val="0"/>
        <w:autoSpaceDN w:val="0"/>
        <w:adjustRightInd w:val="0"/>
        <w:spacing w:beforeLines="50" w:line="300" w:lineRule="auto"/>
        <w:jc w:val="both"/>
        <w:textAlignment w:val="baseline"/>
        <w:rPr>
          <w:sz w:val="22"/>
        </w:rPr>
      </w:pPr>
      <w:r>
        <w:rPr>
          <w:rFonts w:hint="eastAsia"/>
          <w:sz w:val="22"/>
        </w:rPr>
        <w:t>In this contribution, we discuss blind decod</w:t>
      </w:r>
      <w:r>
        <w:rPr>
          <w:sz w:val="22"/>
        </w:rPr>
        <w:t xml:space="preserve">es </w:t>
      </w:r>
      <w:r>
        <w:rPr>
          <w:rFonts w:hint="eastAsia"/>
          <w:sz w:val="22"/>
        </w:rPr>
        <w:t xml:space="preserve">splitting for PDCCH candidates in frequency and time domain. When configured multiple control resource sets, candidates splitting is necessary to </w:t>
      </w:r>
      <w:r>
        <w:rPr>
          <w:sz w:val="22"/>
        </w:rPr>
        <w:t>not exceed</w:t>
      </w:r>
      <w:r>
        <w:rPr>
          <w:rFonts w:hint="eastAsia"/>
          <w:sz w:val="22"/>
        </w:rPr>
        <w:t xml:space="preserve"> maximum number of candidates. This maximum number is independent to the number of control resource sets and the number of search spaces.</w:t>
      </w:r>
    </w:p>
    <w:p>
      <w:pPr>
        <w:pStyle w:val="2"/>
        <w:jc w:val="both"/>
        <w:rPr>
          <w:rFonts w:eastAsiaTheme="minorEastAsia"/>
          <w:lang w:val="en-US"/>
        </w:rPr>
      </w:pPr>
      <w:r>
        <w:rPr>
          <w:rFonts w:hint="eastAsia"/>
          <w:lang w:val="en-US"/>
        </w:rPr>
        <w:t>Discussion</w:t>
      </w:r>
    </w:p>
    <w:p>
      <w:pPr>
        <w:pStyle w:val="3"/>
        <w:jc w:val="both"/>
      </w:pPr>
      <w:r>
        <w:rPr>
          <w:rFonts w:hint="eastAsia"/>
        </w:rPr>
        <w:t>Control resource set and search space</w:t>
      </w:r>
    </w:p>
    <w:p>
      <w:pPr>
        <w:jc w:val="both"/>
        <w:rPr>
          <w:sz w:val="22"/>
        </w:rPr>
      </w:pPr>
      <w:r>
        <w:rPr>
          <w:rFonts w:hint="eastAsia"/>
          <w:sz w:val="22"/>
        </w:rPr>
        <w:t xml:space="preserve">According to RAN1 88 meeting </w:t>
      </w:r>
      <w:r>
        <w:rPr>
          <w:sz w:val="22"/>
        </w:rPr>
        <w:t>agreements</w:t>
      </w:r>
      <w:r>
        <w:rPr>
          <w:rFonts w:hint="eastAsia"/>
          <w:sz w:val="22"/>
        </w:rPr>
        <w:t xml:space="preserve">, a search space in NR is associated with a single control resource set. It precludes the possibility that a search space is distributed over multiple control resource sets. For one control resource set, it may have one search space or contain multiple search spaces. How to configure search space(s) into one control resource </w:t>
      </w:r>
      <w:r>
        <w:rPr>
          <w:sz w:val="22"/>
        </w:rPr>
        <w:t>set</w:t>
      </w:r>
      <w:r>
        <w:rPr>
          <w:rFonts w:hint="eastAsia"/>
          <w:sz w:val="22"/>
        </w:rPr>
        <w:t xml:space="preserve"> should be carefully considered. </w:t>
      </w:r>
    </w:p>
    <w:p>
      <w:pPr>
        <w:jc w:val="both"/>
        <w:rPr>
          <w:sz w:val="22"/>
        </w:rPr>
      </w:pPr>
      <w:r>
        <w:rPr>
          <w:rFonts w:hint="eastAsia"/>
          <w:sz w:val="22"/>
        </w:rPr>
        <w:t xml:space="preserve">We believe that allowing one control resource set including one or multiple search spaces have </w:t>
      </w:r>
      <w:r>
        <w:rPr>
          <w:sz w:val="22"/>
        </w:rPr>
        <w:t>several</w:t>
      </w:r>
      <w:r>
        <w:rPr>
          <w:rFonts w:hint="eastAsia"/>
          <w:sz w:val="22"/>
        </w:rPr>
        <w:t xml:space="preserve"> use cases. At least, a CSS must be supported in the control resource set during initial access procedures. This set should be configured by MIB/SS or implicitly, considering all cell UE</w:t>
      </w:r>
      <w:r>
        <w:rPr>
          <w:sz w:val="22"/>
        </w:rPr>
        <w:t>’</w:t>
      </w:r>
      <w:r>
        <w:rPr>
          <w:rFonts w:hint="eastAsia"/>
          <w:sz w:val="22"/>
        </w:rPr>
        <w:t xml:space="preserve">s bandwidth capability and supported numerology. The configuration for this control resource set should meet the minimum requirements. </w:t>
      </w:r>
    </w:p>
    <w:p>
      <w:pPr>
        <w:jc w:val="both"/>
        <w:rPr>
          <w:sz w:val="22"/>
        </w:rPr>
      </w:pPr>
      <w:r>
        <w:rPr>
          <w:rFonts w:hint="eastAsia"/>
          <w:sz w:val="22"/>
        </w:rPr>
        <w:t>After</w:t>
      </w:r>
      <w:r>
        <w:rPr>
          <w:sz w:val="22"/>
        </w:rPr>
        <w:t xml:space="preserve"> initial access performed</w:t>
      </w:r>
      <w:r>
        <w:rPr>
          <w:rFonts w:hint="eastAsia"/>
          <w:sz w:val="22"/>
        </w:rPr>
        <w:t xml:space="preserve">, CSS will be </w:t>
      </w:r>
      <w:r>
        <w:rPr>
          <w:sz w:val="22"/>
        </w:rPr>
        <w:t>continuously</w:t>
      </w:r>
      <w:r>
        <w:rPr>
          <w:rFonts w:hint="eastAsia"/>
          <w:sz w:val="22"/>
        </w:rPr>
        <w:t xml:space="preserve"> used. And the USS can be multiplexed within the same control resource set, which is beneficial to avoid monitoring multiple control resource sets. It will facilitate flexible resource reuse between CSS and USS. As already </w:t>
      </w:r>
      <w:r>
        <w:rPr>
          <w:sz w:val="22"/>
        </w:rPr>
        <w:t xml:space="preserve">clarified, </w:t>
      </w:r>
      <w:r>
        <w:rPr>
          <w:rFonts w:hint="eastAsia"/>
          <w:sz w:val="22"/>
        </w:rPr>
        <w:t xml:space="preserve">that control resource set does not means a search space </w:t>
      </w:r>
      <w:r>
        <w:rPr>
          <w:sz w:val="22"/>
        </w:rPr>
        <w:t>and</w:t>
      </w:r>
      <w:r>
        <w:rPr>
          <w:rFonts w:hint="eastAsia"/>
          <w:sz w:val="22"/>
        </w:rPr>
        <w:t xml:space="preserve"> CCEs may not fully used by CSS. In addition, it should not be precluded CSS and USS can be carried in different control resource sets for a UE. Then, CSS and USS can be independently configured in resource mapping rule, RS structure, Transmission </w:t>
      </w:r>
      <w:r>
        <w:rPr>
          <w:sz w:val="22"/>
        </w:rPr>
        <w:t>schemes</w:t>
      </w:r>
      <w:r>
        <w:rPr>
          <w:rFonts w:hint="eastAsia"/>
          <w:sz w:val="22"/>
        </w:rPr>
        <w:t xml:space="preserve">, REG Bundle size, etc. as required. </w:t>
      </w:r>
    </w:p>
    <w:p>
      <w:pPr>
        <w:jc w:val="both"/>
        <w:rPr>
          <w:sz w:val="22"/>
        </w:rPr>
      </w:pPr>
      <w:r>
        <w:rPr>
          <w:rFonts w:hint="eastAsia"/>
          <w:sz w:val="22"/>
        </w:rPr>
        <w:t>When configuring the control resource set for the UE, gNB should also explicitly or implicitly indicates that which type of search spaces (CSS and/or USS) maybe included in the control resource set. It will help UE to perform blind detection.</w:t>
      </w:r>
    </w:p>
    <w:p>
      <w:pPr>
        <w:jc w:val="both"/>
        <w:rPr>
          <w:b/>
        </w:rPr>
      </w:pPr>
      <w:r>
        <w:rPr>
          <w:rFonts w:hint="eastAsia"/>
          <w:b/>
          <w:sz w:val="22"/>
        </w:rPr>
        <w:t>Proposal1: A control resource set can include one or multiple search spaces. CSS and USS can be configured in the same or different control resource set</w:t>
      </w:r>
      <w:r>
        <w:rPr>
          <w:rFonts w:hint="default"/>
          <w:b/>
          <w:sz w:val="22"/>
          <w:lang w:val="en-US"/>
        </w:rPr>
        <w:t>s</w:t>
      </w:r>
      <w:bookmarkStart w:id="6" w:name="_GoBack"/>
      <w:bookmarkEnd w:id="6"/>
      <w:r>
        <w:rPr>
          <w:rFonts w:hint="eastAsia"/>
          <w:b/>
          <w:sz w:val="22"/>
        </w:rPr>
        <w:t>.</w:t>
      </w:r>
    </w:p>
    <w:p>
      <w:pPr>
        <w:pStyle w:val="3"/>
        <w:ind w:left="576"/>
        <w:jc w:val="both"/>
      </w:pPr>
      <w:r>
        <w:rPr>
          <w:rFonts w:hint="eastAsia"/>
        </w:rPr>
        <w:t xml:space="preserve">Blind decoding </w:t>
      </w:r>
    </w:p>
    <w:p>
      <w:pPr>
        <w:jc w:val="both"/>
        <w:rPr>
          <w:sz w:val="22"/>
        </w:rPr>
      </w:pPr>
      <w:r>
        <w:rPr>
          <w:sz w:val="22"/>
          <w:lang w:val="en-GB"/>
        </w:rPr>
        <w:t xml:space="preserve">Note that the </w:t>
      </w:r>
      <w:r>
        <w:rPr>
          <w:rFonts w:hint="eastAsia"/>
          <w:sz w:val="22"/>
          <w:lang w:val="en-GB"/>
        </w:rPr>
        <w:t xml:space="preserve">total </w:t>
      </w:r>
      <w:r>
        <w:rPr>
          <w:sz w:val="22"/>
          <w:lang w:val="en-GB"/>
        </w:rPr>
        <w:t>number of blind decod</w:t>
      </w:r>
      <w:r>
        <w:rPr>
          <w:rFonts w:hint="eastAsia"/>
          <w:sz w:val="22"/>
          <w:lang w:val="en-GB"/>
        </w:rPr>
        <w:t>ing candidates</w:t>
      </w:r>
      <w:r>
        <w:rPr>
          <w:sz w:val="22"/>
          <w:lang w:val="en-GB"/>
        </w:rPr>
        <w:t xml:space="preserve"> for </w:t>
      </w:r>
      <w:r>
        <w:rPr>
          <w:rFonts w:hint="eastAsia"/>
          <w:sz w:val="22"/>
          <w:lang w:val="en-GB"/>
        </w:rPr>
        <w:t xml:space="preserve">LTE </w:t>
      </w:r>
      <w:r>
        <w:rPr>
          <w:sz w:val="22"/>
          <w:lang w:val="en-GB"/>
        </w:rPr>
        <w:t xml:space="preserve">PDCCH is </w:t>
      </w:r>
      <w:r>
        <w:rPr>
          <w:rFonts w:hint="eastAsia"/>
          <w:sz w:val="22"/>
          <w:lang w:val="en-GB"/>
        </w:rPr>
        <w:t>44, including CSS and USS. Both are carried in the wideband PDCCH Region. For NR PDCCH, the situation will be more complicated. A</w:t>
      </w:r>
      <w:r>
        <w:rPr>
          <w:sz w:val="22"/>
          <w:lang w:val="en-GB"/>
        </w:rPr>
        <w:t xml:space="preserve"> UE may be configured with </w:t>
      </w:r>
      <w:r>
        <w:rPr>
          <w:rFonts w:hint="eastAsia"/>
          <w:sz w:val="22"/>
          <w:lang w:val="en-GB"/>
        </w:rPr>
        <w:t xml:space="preserve">one or </w:t>
      </w:r>
      <w:r>
        <w:rPr>
          <w:sz w:val="22"/>
          <w:lang w:val="en-GB"/>
        </w:rPr>
        <w:t>multiple control resource sets in the same carrier</w:t>
      </w:r>
      <w:r>
        <w:rPr>
          <w:rFonts w:hint="eastAsia"/>
          <w:sz w:val="22"/>
          <w:lang w:val="en-GB"/>
        </w:rPr>
        <w:t>. For the multiple sets</w:t>
      </w:r>
      <w:r>
        <w:rPr>
          <w:sz w:val="22"/>
          <w:lang w:val="en-GB"/>
        </w:rPr>
        <w:t xml:space="preserve">, the blind decoding candidates for the UE should </w:t>
      </w:r>
      <w:r>
        <w:rPr>
          <w:rFonts w:hint="eastAsia"/>
          <w:sz w:val="22"/>
          <w:lang w:val="en-GB"/>
        </w:rPr>
        <w:t xml:space="preserve">be </w:t>
      </w:r>
      <w:r>
        <w:rPr>
          <w:sz w:val="22"/>
          <w:lang w:val="en-GB"/>
        </w:rPr>
        <w:t>split between the configured control resource sets</w:t>
      </w:r>
      <w:r>
        <w:rPr>
          <w:rFonts w:hint="eastAsia"/>
          <w:sz w:val="22"/>
          <w:lang w:val="en-GB"/>
        </w:rPr>
        <w:t>.  The splitting principles should be considered.</w:t>
      </w:r>
    </w:p>
    <w:p>
      <w:pPr>
        <w:jc w:val="both"/>
        <w:rPr>
          <w:sz w:val="22"/>
        </w:rPr>
      </w:pPr>
      <w:r>
        <w:rPr>
          <w:rFonts w:hint="eastAsia"/>
          <w:sz w:val="22"/>
        </w:rPr>
        <w:t xml:space="preserve">We consider splitting in frequency and time domain separately. </w:t>
      </w:r>
    </w:p>
    <w:p>
      <w:pPr>
        <w:jc w:val="both"/>
        <w:rPr>
          <w:sz w:val="22"/>
        </w:rPr>
      </w:pPr>
      <w:r>
        <w:rPr>
          <w:rFonts w:hint="eastAsia"/>
          <w:sz w:val="22"/>
        </w:rPr>
        <w:t xml:space="preserve">As shown in the left of Fig.1, all search spaces are carried in control resource set1. Control resource set1 contains the total number of blind decoding candidates N. As shown in the right of Fig.1, both control resource set1 and set2 have search space distributed. The total N candidates should be split into N1 and N2, there are several detailed splitting </w:t>
      </w:r>
      <w:r>
        <w:rPr>
          <w:sz w:val="22"/>
        </w:rPr>
        <w:t>principle</w:t>
      </w:r>
      <w:r>
        <w:rPr>
          <w:rFonts w:hint="eastAsia"/>
          <w:sz w:val="22"/>
        </w:rPr>
        <w:t xml:space="preserve">s as follows:    </w:t>
      </w:r>
    </w:p>
    <w:p>
      <w:pPr>
        <w:jc w:val="both"/>
      </w:pPr>
      <w:r>
        <w:object>
          <v:shape id="_x0000_i1025" o:spt="75" type="#_x0000_t75" style="height:144.6pt;width:195.2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r>
        <w:object>
          <v:shape id="_x0000_i1026" o:spt="75" type="#_x0000_t75" style="height:142.25pt;width:204.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pPr>
        <w:jc w:val="center"/>
        <w:rPr>
          <w:sz w:val="22"/>
        </w:rPr>
      </w:pPr>
      <w:r>
        <w:rPr>
          <w:rFonts w:hint="eastAsia"/>
          <w:sz w:val="22"/>
        </w:rPr>
        <w:t>Fig.1 Blind decoding Candidates splitting in frequency domain</w:t>
      </w:r>
    </w:p>
    <w:p>
      <w:pPr>
        <w:pStyle w:val="36"/>
        <w:numPr>
          <w:ilvl w:val="0"/>
          <w:numId w:val="7"/>
        </w:numPr>
        <w:ind w:firstLineChars="0"/>
        <w:rPr>
          <w:sz w:val="22"/>
        </w:rPr>
      </w:pPr>
      <w:r>
        <w:rPr>
          <w:rFonts w:hint="eastAsia"/>
          <w:sz w:val="22"/>
        </w:rPr>
        <w:t>Splitting based on different search space types</w:t>
      </w:r>
    </w:p>
    <w:p>
      <w:pPr>
        <w:pStyle w:val="36"/>
        <w:numPr>
          <w:ilvl w:val="0"/>
          <w:numId w:val="7"/>
        </w:numPr>
        <w:ind w:firstLineChars="0"/>
        <w:rPr>
          <w:sz w:val="22"/>
        </w:rPr>
      </w:pPr>
      <w:r>
        <w:rPr>
          <w:rFonts w:hint="eastAsia"/>
          <w:sz w:val="22"/>
        </w:rPr>
        <w:t>Splitting based on different aggregation levels</w:t>
      </w:r>
    </w:p>
    <w:p>
      <w:pPr>
        <w:pStyle w:val="36"/>
        <w:numPr>
          <w:ilvl w:val="0"/>
          <w:numId w:val="7"/>
        </w:numPr>
        <w:ind w:firstLineChars="0"/>
        <w:rPr>
          <w:sz w:val="22"/>
        </w:rPr>
      </w:pPr>
      <w:r>
        <w:rPr>
          <w:rFonts w:hint="eastAsia"/>
          <w:sz w:val="22"/>
        </w:rPr>
        <w:t>Splitting based on number of control resource sets</w:t>
      </w:r>
    </w:p>
    <w:p>
      <w:pPr>
        <w:jc w:val="both"/>
        <w:rPr>
          <w:b/>
          <w:sz w:val="22"/>
        </w:rPr>
      </w:pPr>
      <w:r>
        <w:rPr>
          <w:rFonts w:hint="eastAsia"/>
          <w:b/>
          <w:sz w:val="22"/>
        </w:rPr>
        <w:t>For Splitting based on different search space types:</w:t>
      </w:r>
    </w:p>
    <w:p>
      <w:pPr>
        <w:jc w:val="both"/>
        <w:rPr>
          <w:sz w:val="22"/>
        </w:rPr>
      </w:pPr>
      <w:r>
        <w:rPr>
          <w:rFonts w:hint="eastAsia"/>
          <w:sz w:val="22"/>
        </w:rPr>
        <w:t xml:space="preserve">For CSS and USS designs, the principles are different. CSS is for common or group UEs, which needs to ensure transmission reliability and user coverage. USS only takes care of certain UE. Configurations such as resource mapping rule, interlace rule, and REG bundle size should be considered respectively. Blind decoding candidates can be split for the two types of search space. It would be </w:t>
      </w:r>
      <w:r>
        <w:rPr>
          <w:sz w:val="22"/>
        </w:rPr>
        <w:t>reasonable</w:t>
      </w:r>
      <w:r>
        <w:rPr>
          <w:rFonts w:hint="eastAsia"/>
          <w:sz w:val="22"/>
        </w:rPr>
        <w:t xml:space="preserve"> to split a fixed number of blind decodes for the 1</w:t>
      </w:r>
      <w:r>
        <w:rPr>
          <w:rFonts w:hint="eastAsia"/>
          <w:sz w:val="22"/>
          <w:vertAlign w:val="superscript"/>
        </w:rPr>
        <w:t>st</w:t>
      </w:r>
      <w:r>
        <w:rPr>
          <w:rFonts w:hint="eastAsia"/>
          <w:sz w:val="22"/>
        </w:rPr>
        <w:t xml:space="preserve"> CSS. </w:t>
      </w:r>
    </w:p>
    <w:p>
      <w:pPr>
        <w:jc w:val="both"/>
        <w:rPr>
          <w:b/>
          <w:sz w:val="22"/>
        </w:rPr>
      </w:pPr>
      <w:r>
        <w:rPr>
          <w:rFonts w:hint="eastAsia"/>
          <w:b/>
          <w:sz w:val="22"/>
        </w:rPr>
        <w:t>For Splitting based on different aggregation levels:</w:t>
      </w:r>
    </w:p>
    <w:p>
      <w:pPr>
        <w:jc w:val="both"/>
        <w:rPr>
          <w:sz w:val="22"/>
        </w:rPr>
      </w:pPr>
      <w:r>
        <w:rPr>
          <w:rFonts w:hint="eastAsia"/>
          <w:sz w:val="22"/>
        </w:rPr>
        <w:t>If multiple control resource sets configured for one UE, different control resource sets can correspond to different aggregate level sets. For control resource set1, it support lower aggregation levels {AL=1, AL=2}. For control resource set2, it support higher aggregation levels {AL=4, AL=8}. B</w:t>
      </w:r>
      <w:r>
        <w:rPr>
          <w:sz w:val="22"/>
        </w:rPr>
        <w:t>ecause</w:t>
      </w:r>
      <w:r>
        <w:rPr>
          <w:rFonts w:hint="eastAsia"/>
          <w:sz w:val="22"/>
        </w:rPr>
        <w:t xml:space="preserve"> of the aggregation levels splitting between control </w:t>
      </w:r>
      <w:r>
        <w:rPr>
          <w:sz w:val="22"/>
        </w:rPr>
        <w:t>resource</w:t>
      </w:r>
      <w:r>
        <w:rPr>
          <w:rFonts w:hint="eastAsia"/>
          <w:sz w:val="22"/>
        </w:rPr>
        <w:t xml:space="preserve"> sets, parameters related with aggregation level can be configured adaptive for each control resource set. For control resource set with lower aggregation level, interleaving and REG Bundle size can be different to those for higher aggregation level. </w:t>
      </w:r>
      <w:r>
        <w:rPr>
          <w:sz w:val="22"/>
        </w:rPr>
        <w:t>B</w:t>
      </w:r>
      <w:r>
        <w:rPr>
          <w:rFonts w:hint="eastAsia"/>
          <w:sz w:val="22"/>
        </w:rPr>
        <w:t>y splitting aggregation levels into different control resource sets, each set can be configured with the optimal interleaving and REG Bundle size.</w:t>
      </w:r>
    </w:p>
    <w:p>
      <w:pPr>
        <w:jc w:val="both"/>
        <w:rPr>
          <w:b/>
          <w:sz w:val="22"/>
        </w:rPr>
      </w:pPr>
      <w:r>
        <w:rPr>
          <w:rFonts w:hint="eastAsia"/>
          <w:b/>
          <w:sz w:val="22"/>
        </w:rPr>
        <w:t>For Splitting based on number of control resource sets:</w:t>
      </w:r>
    </w:p>
    <w:p>
      <w:pPr>
        <w:jc w:val="both"/>
        <w:rPr>
          <w:sz w:val="22"/>
        </w:rPr>
      </w:pPr>
      <w:r>
        <w:rPr>
          <w:sz w:val="22"/>
        </w:rPr>
        <w:t>T</w:t>
      </w:r>
      <w:r>
        <w:rPr>
          <w:rFonts w:hint="eastAsia"/>
          <w:sz w:val="22"/>
        </w:rPr>
        <w:t>he splitting can be according to configured control resource set number, average on each aggregation level candidates. If the total blind decoding candidates are</w:t>
      </w:r>
      <w:r>
        <w:rPr>
          <w:sz w:val="22"/>
        </w:rPr>
        <w:t xml:space="preserve"> </w:t>
      </w:r>
      <w:r>
        <w:rPr>
          <w:rFonts w:hint="eastAsia"/>
          <w:sz w:val="22"/>
        </w:rPr>
        <w:t>{AL=1 x 6, AL=2 x 6, AL=4 x 2, AL=8 x 2} for one UE,  each set</w:t>
      </w:r>
      <w:r>
        <w:rPr>
          <w:sz w:val="22"/>
        </w:rPr>
        <w:t>’</w:t>
      </w:r>
      <w:r>
        <w:rPr>
          <w:rFonts w:hint="eastAsia"/>
          <w:sz w:val="22"/>
        </w:rPr>
        <w:t xml:space="preserve">s of configured two control resource sets candidate numbers are{AL=1 x 3, AL=2 x 3, AL=4 x 1, AL=8 x1}.  </w:t>
      </w:r>
    </w:p>
    <w:p>
      <w:pPr>
        <w:jc w:val="both"/>
        <w:rPr>
          <w:sz w:val="22"/>
        </w:rPr>
      </w:pPr>
      <w:r>
        <w:rPr>
          <w:rFonts w:hint="eastAsia"/>
          <w:sz w:val="22"/>
        </w:rPr>
        <w:t xml:space="preserve">All of these splitting </w:t>
      </w:r>
      <w:r>
        <w:rPr>
          <w:sz w:val="22"/>
        </w:rPr>
        <w:t>principle</w:t>
      </w:r>
      <w:r>
        <w:rPr>
          <w:rFonts w:hint="eastAsia"/>
          <w:sz w:val="22"/>
        </w:rPr>
        <w:t xml:space="preserve">s can be used together. For CSS, in order to obtain better frequency </w:t>
      </w:r>
      <w:r>
        <w:rPr>
          <w:sz w:val="22"/>
        </w:rPr>
        <w:t>diversity</w:t>
      </w:r>
      <w:r>
        <w:rPr>
          <w:rFonts w:hint="eastAsia"/>
          <w:sz w:val="22"/>
        </w:rPr>
        <w:t xml:space="preserve"> gain, distributed mapping is suitable. Considering transmission reliability, higher aggregation levels are suitable so as to acquire lower code rate. For control resource set containing CSS, candidates from aggregation levels {AL=4, AL=8} are suitable. For USS, if configured localized mapping method, it means gNB can achieve accurate CSI to support more flexible frequency-selective scheduling. Lower aggregation level candidates are also included, such as aggregation levels {AL=1, AL=2}, in </w:t>
      </w:r>
      <w:r>
        <w:rPr>
          <w:sz w:val="22"/>
        </w:rPr>
        <w:t>addition</w:t>
      </w:r>
      <w:r>
        <w:rPr>
          <w:rFonts w:hint="eastAsia"/>
          <w:sz w:val="22"/>
        </w:rPr>
        <w:t xml:space="preserve"> to {AL=4, AL=8}. </w:t>
      </w:r>
    </w:p>
    <w:p>
      <w:pPr>
        <w:spacing w:before="0"/>
        <w:jc w:val="both"/>
        <w:rPr>
          <w:sz w:val="22"/>
          <w:lang w:val="en-GB"/>
        </w:rPr>
      </w:pPr>
      <w:r>
        <w:rPr>
          <w:rFonts w:hint="eastAsia"/>
          <w:sz w:val="22"/>
          <w:lang w:val="en-GB"/>
        </w:rPr>
        <w:t xml:space="preserve">On the other hand, considering in time domain, the total number of blind decoding candidates should be fixed during one slot duration. As shown in Fig.2, different control resource sets correspond to different OFDM symbols. Control resource set1 and set2 should be monitored at the beginning of a slot, and control resource set3 should be monitored at several OFDM symbols during the whole slot. More </w:t>
      </w:r>
      <w:r>
        <w:rPr>
          <w:sz w:val="22"/>
          <w:lang w:val="en-GB"/>
        </w:rPr>
        <w:t>specifically</w:t>
      </w:r>
      <w:r>
        <w:rPr>
          <w:rFonts w:hint="eastAsia"/>
          <w:sz w:val="22"/>
          <w:lang w:val="en-GB"/>
        </w:rPr>
        <w:t>, control resource set1 and set2 may carry slot level PDCCH. And control resource set3 may carries mini-slot level PDCCH. Thus, the total number N can be split into N1, N2 and N3. Each Nx</w:t>
      </w:r>
      <w:r>
        <w:rPr>
          <w:sz w:val="22"/>
          <w:lang w:val="en-GB"/>
        </w:rPr>
        <w:t xml:space="preserve"> </w:t>
      </w:r>
      <w:r>
        <w:rPr>
          <w:rFonts w:hint="eastAsia"/>
          <w:sz w:val="22"/>
          <w:lang w:val="en-GB"/>
        </w:rPr>
        <w:t>(x=1/2/3) can configure aggregation levels independently. For example of N1 and N2, aggregation levels</w:t>
      </w:r>
      <w:r>
        <w:rPr>
          <w:sz w:val="22"/>
          <w:lang w:val="en-GB"/>
        </w:rPr>
        <w:t xml:space="preserve"> </w:t>
      </w:r>
      <w:r>
        <w:rPr>
          <w:rFonts w:hint="eastAsia"/>
          <w:sz w:val="22"/>
          <w:lang w:val="en-GB"/>
        </w:rPr>
        <w:t xml:space="preserve">{AL=1, AL=2, AL=4, AL=8} are all supported. For N3, higher aggregation </w:t>
      </w:r>
      <w:r>
        <w:rPr>
          <w:sz w:val="22"/>
          <w:lang w:val="en-GB"/>
        </w:rPr>
        <w:t>levels {</w:t>
      </w:r>
      <w:r>
        <w:rPr>
          <w:rFonts w:hint="eastAsia"/>
          <w:sz w:val="22"/>
          <w:lang w:val="en-GB"/>
        </w:rPr>
        <w:t>AL=4, AL=8} are supported.</w:t>
      </w:r>
    </w:p>
    <w:p>
      <w:pPr>
        <w:spacing w:before="0"/>
        <w:jc w:val="center"/>
      </w:pPr>
      <w:r>
        <w:object>
          <v:shape id="_x0000_i1027" o:spt="75" type="#_x0000_t75" style="height:159.55pt;width:204.5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8">
            <o:LockedField>false</o:LockedField>
          </o:OLEObject>
        </w:object>
      </w:r>
    </w:p>
    <w:p>
      <w:pPr>
        <w:jc w:val="center"/>
      </w:pPr>
      <w:r>
        <w:rPr>
          <w:rFonts w:hint="eastAsia"/>
        </w:rPr>
        <w:t>Fig.2 Blind decoding Candidates splitting in frequency domain</w:t>
      </w:r>
    </w:p>
    <w:p>
      <w:pPr>
        <w:jc w:val="both"/>
        <w:rPr>
          <w:b/>
        </w:rPr>
      </w:pPr>
      <w:r>
        <w:rPr>
          <w:rFonts w:hint="eastAsia"/>
          <w:b/>
          <w:sz w:val="22"/>
        </w:rPr>
        <w:t xml:space="preserve">Proposal2: Blind decoding candidates splitting should be considered in both frequency domain and time domain. In </w:t>
      </w:r>
      <w:r>
        <w:rPr>
          <w:b/>
          <w:sz w:val="22"/>
        </w:rPr>
        <w:t>frequency</w:t>
      </w:r>
      <w:r>
        <w:rPr>
          <w:rFonts w:hint="eastAsia"/>
          <w:b/>
          <w:sz w:val="22"/>
        </w:rPr>
        <w:t xml:space="preserve"> domain </w:t>
      </w:r>
      <w:r>
        <w:rPr>
          <w:b/>
          <w:sz w:val="22"/>
        </w:rPr>
        <w:t>splitting</w:t>
      </w:r>
      <w:r>
        <w:rPr>
          <w:rFonts w:hint="eastAsia"/>
          <w:b/>
          <w:sz w:val="22"/>
        </w:rPr>
        <w:t xml:space="preserve"> can be for different control resource sets. In timing </w:t>
      </w:r>
      <w:r>
        <w:rPr>
          <w:b/>
          <w:sz w:val="22"/>
        </w:rPr>
        <w:t>domain</w:t>
      </w:r>
      <w:r>
        <w:rPr>
          <w:rFonts w:hint="eastAsia"/>
          <w:b/>
          <w:sz w:val="22"/>
        </w:rPr>
        <w:t>, it can be among different symbols.</w:t>
      </w:r>
    </w:p>
    <w:p>
      <w:pPr>
        <w:pStyle w:val="2"/>
        <w:jc w:val="both"/>
        <w:rPr>
          <w:lang w:val="en-US"/>
        </w:rPr>
      </w:pPr>
      <w:r>
        <w:rPr>
          <w:rFonts w:hint="eastAsia"/>
          <w:lang w:val="en-US"/>
        </w:rPr>
        <w:t>Conclusion</w:t>
      </w:r>
    </w:p>
    <w:p>
      <w:pPr>
        <w:jc w:val="both"/>
        <w:rPr>
          <w:sz w:val="22"/>
        </w:rPr>
      </w:pPr>
      <w:r>
        <w:rPr>
          <w:rFonts w:hint="eastAsia"/>
          <w:sz w:val="22"/>
        </w:rPr>
        <w:t>In this contribution, we discussed blind decoding candidates splitting in NR and provided our views</w:t>
      </w:r>
      <w:r>
        <w:rPr>
          <w:sz w:val="22"/>
        </w:rPr>
        <w:t>:</w:t>
      </w:r>
      <w:r>
        <w:rPr>
          <w:rFonts w:hint="eastAsia"/>
          <w:sz w:val="22"/>
        </w:rPr>
        <w:t xml:space="preserve"> </w:t>
      </w:r>
    </w:p>
    <w:p>
      <w:pPr>
        <w:jc w:val="both"/>
        <w:rPr>
          <w:b/>
        </w:rPr>
      </w:pPr>
      <w:r>
        <w:rPr>
          <w:rFonts w:hint="eastAsia"/>
          <w:b/>
          <w:sz w:val="22"/>
        </w:rPr>
        <w:t>Proposal1: A control resource set can include one or multiple search spaces. CSS and USS can be configured in the same or different control resource set</w:t>
      </w:r>
      <w:r>
        <w:rPr>
          <w:rFonts w:hint="default"/>
          <w:b/>
          <w:sz w:val="22"/>
          <w:lang w:val="en-US"/>
        </w:rPr>
        <w:t>s</w:t>
      </w:r>
      <w:r>
        <w:rPr>
          <w:rFonts w:hint="eastAsia"/>
          <w:b/>
          <w:sz w:val="22"/>
        </w:rPr>
        <w:t>.</w:t>
      </w:r>
    </w:p>
    <w:p>
      <w:pPr>
        <w:jc w:val="both"/>
        <w:rPr>
          <w:b/>
        </w:rPr>
      </w:pPr>
      <w:r>
        <w:rPr>
          <w:rFonts w:hint="eastAsia"/>
          <w:b/>
          <w:sz w:val="22"/>
        </w:rPr>
        <w:t xml:space="preserve">Proposal2: Blind decoding candidates splitting should be considered in both frequency domain and time domain. In </w:t>
      </w:r>
      <w:r>
        <w:rPr>
          <w:b/>
          <w:sz w:val="22"/>
        </w:rPr>
        <w:t>frequency</w:t>
      </w:r>
      <w:r>
        <w:rPr>
          <w:rFonts w:hint="eastAsia"/>
          <w:b/>
          <w:sz w:val="22"/>
        </w:rPr>
        <w:t xml:space="preserve"> domain </w:t>
      </w:r>
      <w:r>
        <w:rPr>
          <w:b/>
          <w:sz w:val="22"/>
        </w:rPr>
        <w:t>splitting</w:t>
      </w:r>
      <w:r>
        <w:rPr>
          <w:rFonts w:hint="eastAsia"/>
          <w:b/>
          <w:sz w:val="22"/>
        </w:rPr>
        <w:t xml:space="preserve"> can be for different control resource sets. In timing </w:t>
      </w:r>
      <w:r>
        <w:rPr>
          <w:b/>
          <w:sz w:val="22"/>
        </w:rPr>
        <w:t>domain</w:t>
      </w:r>
      <w:r>
        <w:rPr>
          <w:rFonts w:hint="eastAsia"/>
          <w:b/>
          <w:sz w:val="22"/>
        </w:rPr>
        <w:t>, it can be among different symbols.</w:t>
      </w:r>
    </w:p>
    <w:p>
      <w:pPr>
        <w:pStyle w:val="2"/>
        <w:jc w:val="both"/>
        <w:rPr>
          <w:lang w:val="en-US"/>
        </w:rPr>
      </w:pPr>
      <w:r>
        <w:rPr>
          <w:rFonts w:hint="eastAsia"/>
        </w:rPr>
        <w:t>Reference</w:t>
      </w:r>
      <w:r>
        <w:t>s</w:t>
      </w:r>
      <w:r>
        <w:rPr>
          <w:rFonts w:hint="eastAsia"/>
          <w:lang w:val="en-US"/>
        </w:rPr>
        <w:t xml:space="preserve"> </w:t>
      </w:r>
    </w:p>
    <w:p>
      <w:pPr>
        <w:pStyle w:val="54"/>
        <w:numPr>
          <w:ilvl w:val="0"/>
          <w:numId w:val="8"/>
        </w:numPr>
        <w:spacing w:after="120" w:line="288" w:lineRule="auto"/>
        <w:ind w:left="357" w:hanging="357" w:firstLineChars="0"/>
      </w:pPr>
      <w:r>
        <w:t>R1-1701585</w:t>
      </w:r>
      <w:r>
        <w:rPr>
          <w:rFonts w:hint="eastAsia" w:eastAsiaTheme="minorEastAsia"/>
          <w:lang w:eastAsia="zh-CN"/>
        </w:rPr>
        <w:t xml:space="preserve">, </w:t>
      </w:r>
      <w:r>
        <w:t>NR DL Control Channel Structure</w:t>
      </w:r>
      <w:r>
        <w:rPr>
          <w:rFonts w:hint="eastAsia" w:eastAsiaTheme="minorEastAsia"/>
          <w:lang w:eastAsia="zh-CN"/>
        </w:rPr>
        <w:t>,</w:t>
      </w:r>
      <w:r>
        <w:t xml:space="preserve"> ZTE</w:t>
      </w:r>
    </w:p>
    <w:p>
      <w:pPr>
        <w:pStyle w:val="34"/>
        <w:jc w:val="both"/>
        <w:rPr>
          <w:rFonts w:ascii="Times New Roman" w:hAnsi="Times New Roman"/>
          <w:sz w:val="20"/>
          <w:szCs w:val="20"/>
        </w:rPr>
      </w:pPr>
    </w:p>
    <w:p>
      <w:pPr>
        <w:jc w:val="both"/>
        <w:rPr>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KaiTi_GB2312">
    <w:altName w:val="Segoe Print"/>
    <w:panose1 w:val="02010609060101010101"/>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multilevel"/>
    <w:tmpl w:val="0AF03C44"/>
    <w:lvl w:ilvl="0" w:tentative="0">
      <w:start w:val="1"/>
      <w:numFmt w:val="decimal"/>
      <w:lvlText w:val="[%1]"/>
      <w:lvlJc w:val="left"/>
      <w:pPr>
        <w:ind w:left="1120" w:hanging="360"/>
      </w:pPr>
      <w:rPr>
        <w:rFonts w:hint="eastAsia"/>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1">
    <w:nsid w:val="26ED1AD6"/>
    <w:multiLevelType w:val="multilevel"/>
    <w:tmpl w:val="26ED1AD6"/>
    <w:lvl w:ilvl="0" w:tentative="0">
      <w:start w:val="1"/>
      <w:numFmt w:val="bullet"/>
      <w:lvlText w:val="•"/>
      <w:lvlJc w:val="left"/>
      <w:pPr>
        <w:tabs>
          <w:tab w:val="left" w:pos="720"/>
        </w:tabs>
        <w:ind w:left="720" w:hanging="360"/>
      </w:pPr>
      <w:rPr>
        <w:rFonts w:hint="default" w:ascii="Arial" w:hAnsi="Arial"/>
      </w:rPr>
    </w:lvl>
    <w:lvl w:ilvl="1" w:tentative="0">
      <w:start w:val="4012"/>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2E291D71"/>
    <w:multiLevelType w:val="multilevel"/>
    <w:tmpl w:val="2E291D71"/>
    <w:lvl w:ilvl="0" w:tentative="0">
      <w:start w:val="1"/>
      <w:numFmt w:val="decimal"/>
      <w:pStyle w:val="58"/>
      <w:lvlText w:val="%1"/>
      <w:lvlJc w:val="left"/>
      <w:pPr>
        <w:ind w:left="800" w:hanging="400"/>
      </w:pPr>
      <w:rPr>
        <w:rFonts w:hint="eastAsia"/>
      </w:rPr>
    </w:lvl>
    <w:lvl w:ilvl="1" w:tentative="0">
      <w:start w:val="1"/>
      <w:numFmt w:val="decimal"/>
      <w:isLgl/>
      <w:lvlText w:val="%1.%2"/>
      <w:lvlJc w:val="left"/>
      <w:pPr>
        <w:ind w:left="1120" w:hanging="720"/>
      </w:pPr>
      <w:rPr>
        <w:rFonts w:hint="default"/>
      </w:rPr>
    </w:lvl>
    <w:lvl w:ilvl="2" w:tentative="0">
      <w:start w:val="1"/>
      <w:numFmt w:val="decimal"/>
      <w:isLgl/>
      <w:lvlText w:val="%1.%2.%3"/>
      <w:lvlJc w:val="left"/>
      <w:pPr>
        <w:ind w:left="1120" w:hanging="720"/>
      </w:pPr>
      <w:rPr>
        <w:rFonts w:hint="default"/>
      </w:rPr>
    </w:lvl>
    <w:lvl w:ilvl="3" w:tentative="0">
      <w:start w:val="1"/>
      <w:numFmt w:val="decimal"/>
      <w:isLgl/>
      <w:lvlText w:val="%1.%2.%3.%4"/>
      <w:lvlJc w:val="left"/>
      <w:pPr>
        <w:ind w:left="1480" w:hanging="1080"/>
      </w:pPr>
      <w:rPr>
        <w:rFonts w:hint="default"/>
      </w:rPr>
    </w:lvl>
    <w:lvl w:ilvl="4" w:tentative="0">
      <w:start w:val="1"/>
      <w:numFmt w:val="decimal"/>
      <w:isLgl/>
      <w:lvlText w:val="%1.%2.%3.%4.%5"/>
      <w:lvlJc w:val="left"/>
      <w:pPr>
        <w:ind w:left="1840" w:hanging="1440"/>
      </w:pPr>
      <w:rPr>
        <w:rFonts w:hint="default"/>
      </w:rPr>
    </w:lvl>
    <w:lvl w:ilvl="5" w:tentative="0">
      <w:start w:val="1"/>
      <w:numFmt w:val="decimal"/>
      <w:isLgl/>
      <w:lvlText w:val="%1.%2.%3.%4.%5.%6"/>
      <w:lvlJc w:val="left"/>
      <w:pPr>
        <w:ind w:left="2200" w:hanging="1800"/>
      </w:pPr>
      <w:rPr>
        <w:rFonts w:hint="default"/>
      </w:rPr>
    </w:lvl>
    <w:lvl w:ilvl="6" w:tentative="0">
      <w:start w:val="1"/>
      <w:numFmt w:val="decimal"/>
      <w:isLgl/>
      <w:lvlText w:val="%1.%2.%3.%4.%5.%6.%7"/>
      <w:lvlJc w:val="left"/>
      <w:pPr>
        <w:ind w:left="2200" w:hanging="1800"/>
      </w:pPr>
      <w:rPr>
        <w:rFonts w:hint="default"/>
      </w:rPr>
    </w:lvl>
    <w:lvl w:ilvl="7" w:tentative="0">
      <w:start w:val="1"/>
      <w:numFmt w:val="decimal"/>
      <w:isLgl/>
      <w:lvlText w:val="%1.%2.%3.%4.%5.%6.%7.%8"/>
      <w:lvlJc w:val="left"/>
      <w:pPr>
        <w:ind w:left="2560" w:hanging="2160"/>
      </w:pPr>
      <w:rPr>
        <w:rFonts w:hint="default"/>
      </w:rPr>
    </w:lvl>
    <w:lvl w:ilvl="8" w:tentative="0">
      <w:start w:val="1"/>
      <w:numFmt w:val="decimal"/>
      <w:isLgl/>
      <w:lvlText w:val="%1.%2.%3.%4.%5.%6.%7.%8.%9"/>
      <w:lvlJc w:val="left"/>
      <w:pPr>
        <w:ind w:left="2920" w:hanging="2520"/>
      </w:pPr>
      <w:rPr>
        <w:rFonts w:hint="default"/>
      </w:rPr>
    </w:lvl>
  </w:abstractNum>
  <w:abstractNum w:abstractNumId="3">
    <w:nsid w:val="3A877D64"/>
    <w:multiLevelType w:val="singleLevel"/>
    <w:tmpl w:val="3A877D64"/>
    <w:lvl w:ilvl="0" w:tentative="0">
      <w:start w:val="1"/>
      <w:numFmt w:val="decimal"/>
      <w:pStyle w:val="63"/>
      <w:lvlText w:val="[%1]"/>
      <w:lvlJc w:val="left"/>
      <w:pPr>
        <w:tabs>
          <w:tab w:val="left" w:pos="360"/>
        </w:tabs>
        <w:ind w:left="360" w:hanging="360"/>
      </w:pPr>
    </w:lvl>
  </w:abstractNum>
  <w:abstractNum w:abstractNumId="4">
    <w:nsid w:val="52CA544A"/>
    <w:multiLevelType w:val="singleLevel"/>
    <w:tmpl w:val="52CA544A"/>
    <w:lvl w:ilvl="0" w:tentative="0">
      <w:start w:val="1"/>
      <w:numFmt w:val="decimal"/>
      <w:pStyle w:val="6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5">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1026"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6E760327"/>
    <w:multiLevelType w:val="multilevel"/>
    <w:tmpl w:val="6E76032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pStyle w:val="4"/>
      <w:lvlText w:val="%1.%2.%3"/>
      <w:lvlJc w:val="left"/>
      <w:pPr>
        <w:tabs>
          <w:tab w:val="left" w:pos="0"/>
        </w:tabs>
        <w:ind w:left="0" w:firstLine="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6FBE0997"/>
    <w:multiLevelType w:val="multilevel"/>
    <w:tmpl w:val="6FBE099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6"/>
  </w:num>
  <w:num w:numId="3">
    <w:abstractNumId w:val="2"/>
  </w:num>
  <w:num w:numId="4">
    <w:abstractNumId w:val="4"/>
  </w:num>
  <w:num w:numId="5">
    <w:abstractNumId w:val="3"/>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hyphenationZone w:val="425"/>
  <w:characterSpacingControl w:val="doNotCompress"/>
  <w:compat>
    <w:useFELayout/>
    <w:compatSetting w:name="compatibilityMode" w:uri="http://schemas.microsoft.com/office/word" w:val="12"/>
  </w:compat>
  <w:rsids>
    <w:rsidRoot w:val="008E2E7F"/>
    <w:rsid w:val="000000D5"/>
    <w:rsid w:val="00000FFB"/>
    <w:rsid w:val="00001225"/>
    <w:rsid w:val="00001F6C"/>
    <w:rsid w:val="00002071"/>
    <w:rsid w:val="00002EA0"/>
    <w:rsid w:val="0000557C"/>
    <w:rsid w:val="000055D1"/>
    <w:rsid w:val="000062AC"/>
    <w:rsid w:val="000066E7"/>
    <w:rsid w:val="00006A0E"/>
    <w:rsid w:val="0000705B"/>
    <w:rsid w:val="00007304"/>
    <w:rsid w:val="00007B64"/>
    <w:rsid w:val="00012E08"/>
    <w:rsid w:val="00012E58"/>
    <w:rsid w:val="000132A2"/>
    <w:rsid w:val="00013845"/>
    <w:rsid w:val="000139AD"/>
    <w:rsid w:val="00013BD1"/>
    <w:rsid w:val="00014115"/>
    <w:rsid w:val="00014604"/>
    <w:rsid w:val="00014B48"/>
    <w:rsid w:val="00014D8C"/>
    <w:rsid w:val="00015DBB"/>
    <w:rsid w:val="00015F44"/>
    <w:rsid w:val="00017916"/>
    <w:rsid w:val="00017D67"/>
    <w:rsid w:val="00017E34"/>
    <w:rsid w:val="00020130"/>
    <w:rsid w:val="0002066E"/>
    <w:rsid w:val="00020D97"/>
    <w:rsid w:val="0002249A"/>
    <w:rsid w:val="00022C5F"/>
    <w:rsid w:val="00023067"/>
    <w:rsid w:val="000231D0"/>
    <w:rsid w:val="00023951"/>
    <w:rsid w:val="00023E79"/>
    <w:rsid w:val="000244B9"/>
    <w:rsid w:val="00024A6E"/>
    <w:rsid w:val="00025695"/>
    <w:rsid w:val="00026404"/>
    <w:rsid w:val="00026B95"/>
    <w:rsid w:val="00026C59"/>
    <w:rsid w:val="000271B7"/>
    <w:rsid w:val="000275C4"/>
    <w:rsid w:val="00027A85"/>
    <w:rsid w:val="00027D0A"/>
    <w:rsid w:val="00027E02"/>
    <w:rsid w:val="0003074F"/>
    <w:rsid w:val="00030C02"/>
    <w:rsid w:val="0003128F"/>
    <w:rsid w:val="00031458"/>
    <w:rsid w:val="000322B0"/>
    <w:rsid w:val="000332EA"/>
    <w:rsid w:val="00033359"/>
    <w:rsid w:val="0003348A"/>
    <w:rsid w:val="00033D39"/>
    <w:rsid w:val="0003404C"/>
    <w:rsid w:val="000341C4"/>
    <w:rsid w:val="0003534A"/>
    <w:rsid w:val="00036250"/>
    <w:rsid w:val="00036872"/>
    <w:rsid w:val="00037242"/>
    <w:rsid w:val="0003750E"/>
    <w:rsid w:val="00037AF2"/>
    <w:rsid w:val="0004015F"/>
    <w:rsid w:val="00041CBB"/>
    <w:rsid w:val="00041F46"/>
    <w:rsid w:val="0004242E"/>
    <w:rsid w:val="00043334"/>
    <w:rsid w:val="00043886"/>
    <w:rsid w:val="000442B0"/>
    <w:rsid w:val="00044C0B"/>
    <w:rsid w:val="00044E13"/>
    <w:rsid w:val="00044FF3"/>
    <w:rsid w:val="00045194"/>
    <w:rsid w:val="00045271"/>
    <w:rsid w:val="000458E6"/>
    <w:rsid w:val="00045E51"/>
    <w:rsid w:val="00045F11"/>
    <w:rsid w:val="00046405"/>
    <w:rsid w:val="00046EFA"/>
    <w:rsid w:val="000476D8"/>
    <w:rsid w:val="000505BE"/>
    <w:rsid w:val="00051A81"/>
    <w:rsid w:val="00051CF3"/>
    <w:rsid w:val="00052661"/>
    <w:rsid w:val="00052752"/>
    <w:rsid w:val="00052E69"/>
    <w:rsid w:val="00053425"/>
    <w:rsid w:val="00054700"/>
    <w:rsid w:val="00055110"/>
    <w:rsid w:val="00055624"/>
    <w:rsid w:val="00055A7A"/>
    <w:rsid w:val="00056618"/>
    <w:rsid w:val="0005716B"/>
    <w:rsid w:val="00057AC7"/>
    <w:rsid w:val="0006006B"/>
    <w:rsid w:val="000600F5"/>
    <w:rsid w:val="000609B5"/>
    <w:rsid w:val="00062143"/>
    <w:rsid w:val="000624B4"/>
    <w:rsid w:val="000627C2"/>
    <w:rsid w:val="0006282E"/>
    <w:rsid w:val="00062DBD"/>
    <w:rsid w:val="00062F51"/>
    <w:rsid w:val="00063674"/>
    <w:rsid w:val="0006414C"/>
    <w:rsid w:val="0006558C"/>
    <w:rsid w:val="0006591D"/>
    <w:rsid w:val="00065D29"/>
    <w:rsid w:val="00065FA1"/>
    <w:rsid w:val="00066556"/>
    <w:rsid w:val="00066A38"/>
    <w:rsid w:val="00066ED8"/>
    <w:rsid w:val="000672C8"/>
    <w:rsid w:val="000673C8"/>
    <w:rsid w:val="00067F36"/>
    <w:rsid w:val="00071F92"/>
    <w:rsid w:val="000727E4"/>
    <w:rsid w:val="00073316"/>
    <w:rsid w:val="000737FB"/>
    <w:rsid w:val="00073A92"/>
    <w:rsid w:val="00074888"/>
    <w:rsid w:val="000768A6"/>
    <w:rsid w:val="0007696E"/>
    <w:rsid w:val="000773A0"/>
    <w:rsid w:val="0008046A"/>
    <w:rsid w:val="00080BB6"/>
    <w:rsid w:val="000814CF"/>
    <w:rsid w:val="0008169B"/>
    <w:rsid w:val="000819B7"/>
    <w:rsid w:val="00082030"/>
    <w:rsid w:val="00082089"/>
    <w:rsid w:val="00082E4E"/>
    <w:rsid w:val="00084956"/>
    <w:rsid w:val="0008503B"/>
    <w:rsid w:val="0008525F"/>
    <w:rsid w:val="00086248"/>
    <w:rsid w:val="000867CC"/>
    <w:rsid w:val="00086E8E"/>
    <w:rsid w:val="0008720C"/>
    <w:rsid w:val="00090025"/>
    <w:rsid w:val="000902BD"/>
    <w:rsid w:val="000902F8"/>
    <w:rsid w:val="0009167F"/>
    <w:rsid w:val="00091C60"/>
    <w:rsid w:val="00092B46"/>
    <w:rsid w:val="0009334E"/>
    <w:rsid w:val="000934B3"/>
    <w:rsid w:val="0009474A"/>
    <w:rsid w:val="00094955"/>
    <w:rsid w:val="00094963"/>
    <w:rsid w:val="00096998"/>
    <w:rsid w:val="000969E8"/>
    <w:rsid w:val="00097059"/>
    <w:rsid w:val="00097434"/>
    <w:rsid w:val="0009766A"/>
    <w:rsid w:val="000A088C"/>
    <w:rsid w:val="000A0EAC"/>
    <w:rsid w:val="000A1279"/>
    <w:rsid w:val="000A12B0"/>
    <w:rsid w:val="000A145E"/>
    <w:rsid w:val="000A14CF"/>
    <w:rsid w:val="000A27D6"/>
    <w:rsid w:val="000A3632"/>
    <w:rsid w:val="000A61C7"/>
    <w:rsid w:val="000A6303"/>
    <w:rsid w:val="000A7F0F"/>
    <w:rsid w:val="000B0383"/>
    <w:rsid w:val="000B1240"/>
    <w:rsid w:val="000B1F25"/>
    <w:rsid w:val="000B1F46"/>
    <w:rsid w:val="000B391D"/>
    <w:rsid w:val="000B3B98"/>
    <w:rsid w:val="000B3D67"/>
    <w:rsid w:val="000B3FCA"/>
    <w:rsid w:val="000B4772"/>
    <w:rsid w:val="000B6A62"/>
    <w:rsid w:val="000B6BF0"/>
    <w:rsid w:val="000B6CCA"/>
    <w:rsid w:val="000B6E5F"/>
    <w:rsid w:val="000B76B1"/>
    <w:rsid w:val="000B7B43"/>
    <w:rsid w:val="000C050C"/>
    <w:rsid w:val="000C1D3E"/>
    <w:rsid w:val="000C20FA"/>
    <w:rsid w:val="000C2622"/>
    <w:rsid w:val="000C2810"/>
    <w:rsid w:val="000C29C1"/>
    <w:rsid w:val="000C39ED"/>
    <w:rsid w:val="000C4734"/>
    <w:rsid w:val="000C497E"/>
    <w:rsid w:val="000C4ECD"/>
    <w:rsid w:val="000C4FFD"/>
    <w:rsid w:val="000C60BE"/>
    <w:rsid w:val="000C64C0"/>
    <w:rsid w:val="000C6C88"/>
    <w:rsid w:val="000D1B0E"/>
    <w:rsid w:val="000D2782"/>
    <w:rsid w:val="000D2C0B"/>
    <w:rsid w:val="000D3518"/>
    <w:rsid w:val="000D3F03"/>
    <w:rsid w:val="000D4135"/>
    <w:rsid w:val="000D463D"/>
    <w:rsid w:val="000D4ECB"/>
    <w:rsid w:val="000D5EAA"/>
    <w:rsid w:val="000D645A"/>
    <w:rsid w:val="000D744C"/>
    <w:rsid w:val="000E0044"/>
    <w:rsid w:val="000E0C5D"/>
    <w:rsid w:val="000E0F41"/>
    <w:rsid w:val="000E113F"/>
    <w:rsid w:val="000E2524"/>
    <w:rsid w:val="000E2F5A"/>
    <w:rsid w:val="000E31C9"/>
    <w:rsid w:val="000E3D52"/>
    <w:rsid w:val="000E3D57"/>
    <w:rsid w:val="000E3FC6"/>
    <w:rsid w:val="000E4B60"/>
    <w:rsid w:val="000E6C30"/>
    <w:rsid w:val="000E6F0E"/>
    <w:rsid w:val="000E77D6"/>
    <w:rsid w:val="000F1AE8"/>
    <w:rsid w:val="000F1EEC"/>
    <w:rsid w:val="000F1EFD"/>
    <w:rsid w:val="000F2106"/>
    <w:rsid w:val="000F2139"/>
    <w:rsid w:val="000F43B9"/>
    <w:rsid w:val="000F46F4"/>
    <w:rsid w:val="000F4E76"/>
    <w:rsid w:val="000F4E7F"/>
    <w:rsid w:val="000F6186"/>
    <w:rsid w:val="000F6199"/>
    <w:rsid w:val="000F7333"/>
    <w:rsid w:val="000F7565"/>
    <w:rsid w:val="000F782D"/>
    <w:rsid w:val="000F78D2"/>
    <w:rsid w:val="000F7B96"/>
    <w:rsid w:val="001010EF"/>
    <w:rsid w:val="00101C8E"/>
    <w:rsid w:val="0010229B"/>
    <w:rsid w:val="00103538"/>
    <w:rsid w:val="00103EFE"/>
    <w:rsid w:val="00104196"/>
    <w:rsid w:val="0010419C"/>
    <w:rsid w:val="001049F5"/>
    <w:rsid w:val="00104D0E"/>
    <w:rsid w:val="0010523C"/>
    <w:rsid w:val="00105523"/>
    <w:rsid w:val="00106ED7"/>
    <w:rsid w:val="00107071"/>
    <w:rsid w:val="00110171"/>
    <w:rsid w:val="00110529"/>
    <w:rsid w:val="00110879"/>
    <w:rsid w:val="00112302"/>
    <w:rsid w:val="0011277E"/>
    <w:rsid w:val="00112E3E"/>
    <w:rsid w:val="00113731"/>
    <w:rsid w:val="00113FAF"/>
    <w:rsid w:val="00114DA6"/>
    <w:rsid w:val="00117B83"/>
    <w:rsid w:val="00117FC5"/>
    <w:rsid w:val="00120BE8"/>
    <w:rsid w:val="001218EA"/>
    <w:rsid w:val="00121BA7"/>
    <w:rsid w:val="00122904"/>
    <w:rsid w:val="00123496"/>
    <w:rsid w:val="00124E6C"/>
    <w:rsid w:val="00124F03"/>
    <w:rsid w:val="00125526"/>
    <w:rsid w:val="00125A28"/>
    <w:rsid w:val="00125DAA"/>
    <w:rsid w:val="00125FA6"/>
    <w:rsid w:val="001260B0"/>
    <w:rsid w:val="0013097F"/>
    <w:rsid w:val="00130AA3"/>
    <w:rsid w:val="00130E18"/>
    <w:rsid w:val="00131A50"/>
    <w:rsid w:val="00132581"/>
    <w:rsid w:val="00132720"/>
    <w:rsid w:val="00132900"/>
    <w:rsid w:val="00132ABD"/>
    <w:rsid w:val="00133403"/>
    <w:rsid w:val="00133A6E"/>
    <w:rsid w:val="001347E4"/>
    <w:rsid w:val="001348A5"/>
    <w:rsid w:val="001355CB"/>
    <w:rsid w:val="00135780"/>
    <w:rsid w:val="001361A8"/>
    <w:rsid w:val="00136307"/>
    <w:rsid w:val="001363C4"/>
    <w:rsid w:val="0013671C"/>
    <w:rsid w:val="00136FA8"/>
    <w:rsid w:val="0014018D"/>
    <w:rsid w:val="001404E2"/>
    <w:rsid w:val="00140E7D"/>
    <w:rsid w:val="001417C1"/>
    <w:rsid w:val="00141E48"/>
    <w:rsid w:val="00142923"/>
    <w:rsid w:val="00142B3E"/>
    <w:rsid w:val="00142D7F"/>
    <w:rsid w:val="00143300"/>
    <w:rsid w:val="0014343D"/>
    <w:rsid w:val="00145021"/>
    <w:rsid w:val="0014591A"/>
    <w:rsid w:val="00147542"/>
    <w:rsid w:val="00150120"/>
    <w:rsid w:val="001504AA"/>
    <w:rsid w:val="00150BA3"/>
    <w:rsid w:val="00150ED9"/>
    <w:rsid w:val="00151424"/>
    <w:rsid w:val="00151689"/>
    <w:rsid w:val="0015190C"/>
    <w:rsid w:val="00151A14"/>
    <w:rsid w:val="0015218A"/>
    <w:rsid w:val="001522BF"/>
    <w:rsid w:val="001530D8"/>
    <w:rsid w:val="001538F2"/>
    <w:rsid w:val="0015441C"/>
    <w:rsid w:val="00154CBB"/>
    <w:rsid w:val="0015646F"/>
    <w:rsid w:val="00156579"/>
    <w:rsid w:val="00156EC1"/>
    <w:rsid w:val="0016078A"/>
    <w:rsid w:val="001607FB"/>
    <w:rsid w:val="00160EA3"/>
    <w:rsid w:val="001612E1"/>
    <w:rsid w:val="001622E6"/>
    <w:rsid w:val="00162DD8"/>
    <w:rsid w:val="001631A0"/>
    <w:rsid w:val="001636A6"/>
    <w:rsid w:val="00163A53"/>
    <w:rsid w:val="00163BF2"/>
    <w:rsid w:val="00163EC2"/>
    <w:rsid w:val="001650FE"/>
    <w:rsid w:val="001659D6"/>
    <w:rsid w:val="00165A13"/>
    <w:rsid w:val="00165E3E"/>
    <w:rsid w:val="001663F3"/>
    <w:rsid w:val="00166659"/>
    <w:rsid w:val="00166763"/>
    <w:rsid w:val="00167210"/>
    <w:rsid w:val="00167C92"/>
    <w:rsid w:val="001702F7"/>
    <w:rsid w:val="00170BA5"/>
    <w:rsid w:val="00170D13"/>
    <w:rsid w:val="00171EE9"/>
    <w:rsid w:val="00172053"/>
    <w:rsid w:val="001725D6"/>
    <w:rsid w:val="0017263B"/>
    <w:rsid w:val="00173748"/>
    <w:rsid w:val="00174F42"/>
    <w:rsid w:val="00175977"/>
    <w:rsid w:val="0017626A"/>
    <w:rsid w:val="00176B6C"/>
    <w:rsid w:val="00176D05"/>
    <w:rsid w:val="00176F8B"/>
    <w:rsid w:val="00180EB6"/>
    <w:rsid w:val="001813B0"/>
    <w:rsid w:val="001826AB"/>
    <w:rsid w:val="001829F9"/>
    <w:rsid w:val="00184663"/>
    <w:rsid w:val="0018522E"/>
    <w:rsid w:val="00185844"/>
    <w:rsid w:val="00185A4E"/>
    <w:rsid w:val="00185BD7"/>
    <w:rsid w:val="0018607D"/>
    <w:rsid w:val="00187170"/>
    <w:rsid w:val="00191956"/>
    <w:rsid w:val="001923FD"/>
    <w:rsid w:val="00193750"/>
    <w:rsid w:val="00193D83"/>
    <w:rsid w:val="00195095"/>
    <w:rsid w:val="00196639"/>
    <w:rsid w:val="00197DB5"/>
    <w:rsid w:val="001A0A2D"/>
    <w:rsid w:val="001A119E"/>
    <w:rsid w:val="001A1225"/>
    <w:rsid w:val="001A141D"/>
    <w:rsid w:val="001A1536"/>
    <w:rsid w:val="001A2025"/>
    <w:rsid w:val="001A22B9"/>
    <w:rsid w:val="001A2A6A"/>
    <w:rsid w:val="001A31FB"/>
    <w:rsid w:val="001A69B1"/>
    <w:rsid w:val="001A76E7"/>
    <w:rsid w:val="001B0E3B"/>
    <w:rsid w:val="001B0F8F"/>
    <w:rsid w:val="001B156C"/>
    <w:rsid w:val="001B277D"/>
    <w:rsid w:val="001B41CE"/>
    <w:rsid w:val="001B4573"/>
    <w:rsid w:val="001B4685"/>
    <w:rsid w:val="001B47A5"/>
    <w:rsid w:val="001B4C15"/>
    <w:rsid w:val="001B5ADA"/>
    <w:rsid w:val="001B6C68"/>
    <w:rsid w:val="001B6F5C"/>
    <w:rsid w:val="001B778F"/>
    <w:rsid w:val="001B79B2"/>
    <w:rsid w:val="001C127E"/>
    <w:rsid w:val="001C1420"/>
    <w:rsid w:val="001C1CAA"/>
    <w:rsid w:val="001C22A8"/>
    <w:rsid w:val="001C2753"/>
    <w:rsid w:val="001C4275"/>
    <w:rsid w:val="001C4DF3"/>
    <w:rsid w:val="001C4F71"/>
    <w:rsid w:val="001C53C4"/>
    <w:rsid w:val="001C5F41"/>
    <w:rsid w:val="001D00E8"/>
    <w:rsid w:val="001D041A"/>
    <w:rsid w:val="001D068B"/>
    <w:rsid w:val="001D0705"/>
    <w:rsid w:val="001D0969"/>
    <w:rsid w:val="001D0D60"/>
    <w:rsid w:val="001D1182"/>
    <w:rsid w:val="001D2389"/>
    <w:rsid w:val="001D2ADD"/>
    <w:rsid w:val="001D3BEB"/>
    <w:rsid w:val="001D3ED5"/>
    <w:rsid w:val="001D55C7"/>
    <w:rsid w:val="001D5FC8"/>
    <w:rsid w:val="001D6E44"/>
    <w:rsid w:val="001D7144"/>
    <w:rsid w:val="001D71E9"/>
    <w:rsid w:val="001D7259"/>
    <w:rsid w:val="001D7DB2"/>
    <w:rsid w:val="001E000C"/>
    <w:rsid w:val="001E0ECE"/>
    <w:rsid w:val="001E11A5"/>
    <w:rsid w:val="001E1A77"/>
    <w:rsid w:val="001E1DE0"/>
    <w:rsid w:val="001E2A8B"/>
    <w:rsid w:val="001E31F5"/>
    <w:rsid w:val="001E4139"/>
    <w:rsid w:val="001E4FF8"/>
    <w:rsid w:val="001E53EB"/>
    <w:rsid w:val="001E58DF"/>
    <w:rsid w:val="001E5D5C"/>
    <w:rsid w:val="001E646A"/>
    <w:rsid w:val="001E71CB"/>
    <w:rsid w:val="001E7272"/>
    <w:rsid w:val="001F1329"/>
    <w:rsid w:val="001F167E"/>
    <w:rsid w:val="001F1F7D"/>
    <w:rsid w:val="001F28BB"/>
    <w:rsid w:val="001F31EA"/>
    <w:rsid w:val="001F384F"/>
    <w:rsid w:val="001F3D5D"/>
    <w:rsid w:val="001F41F4"/>
    <w:rsid w:val="001F4441"/>
    <w:rsid w:val="001F47D1"/>
    <w:rsid w:val="001F54CE"/>
    <w:rsid w:val="001F7499"/>
    <w:rsid w:val="001F78D7"/>
    <w:rsid w:val="002000EF"/>
    <w:rsid w:val="00201185"/>
    <w:rsid w:val="002016F0"/>
    <w:rsid w:val="00201C98"/>
    <w:rsid w:val="00201ED0"/>
    <w:rsid w:val="00202EA4"/>
    <w:rsid w:val="00203068"/>
    <w:rsid w:val="0020309C"/>
    <w:rsid w:val="00203D83"/>
    <w:rsid w:val="0020464B"/>
    <w:rsid w:val="00204B02"/>
    <w:rsid w:val="00204EE8"/>
    <w:rsid w:val="002058C4"/>
    <w:rsid w:val="00205E90"/>
    <w:rsid w:val="00207908"/>
    <w:rsid w:val="00207A27"/>
    <w:rsid w:val="00211255"/>
    <w:rsid w:val="002125EA"/>
    <w:rsid w:val="002129CC"/>
    <w:rsid w:val="002137AD"/>
    <w:rsid w:val="00214203"/>
    <w:rsid w:val="00214697"/>
    <w:rsid w:val="0021538B"/>
    <w:rsid w:val="00215A32"/>
    <w:rsid w:val="00216292"/>
    <w:rsid w:val="002164FE"/>
    <w:rsid w:val="002201BE"/>
    <w:rsid w:val="0022028A"/>
    <w:rsid w:val="002206EF"/>
    <w:rsid w:val="00220A1B"/>
    <w:rsid w:val="00221B5C"/>
    <w:rsid w:val="00221B7B"/>
    <w:rsid w:val="0022238A"/>
    <w:rsid w:val="002223EE"/>
    <w:rsid w:val="002224E9"/>
    <w:rsid w:val="002228F4"/>
    <w:rsid w:val="002243D0"/>
    <w:rsid w:val="002247A3"/>
    <w:rsid w:val="00225783"/>
    <w:rsid w:val="00225EA3"/>
    <w:rsid w:val="002266D3"/>
    <w:rsid w:val="002279DB"/>
    <w:rsid w:val="002310D5"/>
    <w:rsid w:val="00231591"/>
    <w:rsid w:val="0023213B"/>
    <w:rsid w:val="00232CC6"/>
    <w:rsid w:val="002331E4"/>
    <w:rsid w:val="00233C9D"/>
    <w:rsid w:val="00233F91"/>
    <w:rsid w:val="002354D7"/>
    <w:rsid w:val="00236E35"/>
    <w:rsid w:val="002377B0"/>
    <w:rsid w:val="00237BFE"/>
    <w:rsid w:val="00240197"/>
    <w:rsid w:val="00240C3D"/>
    <w:rsid w:val="002424E5"/>
    <w:rsid w:val="002429EF"/>
    <w:rsid w:val="00242EBC"/>
    <w:rsid w:val="00243220"/>
    <w:rsid w:val="002432AF"/>
    <w:rsid w:val="00243718"/>
    <w:rsid w:val="0024372F"/>
    <w:rsid w:val="002444AE"/>
    <w:rsid w:val="00245773"/>
    <w:rsid w:val="00246617"/>
    <w:rsid w:val="00246AB3"/>
    <w:rsid w:val="00247972"/>
    <w:rsid w:val="00247A15"/>
    <w:rsid w:val="00247DF0"/>
    <w:rsid w:val="00250170"/>
    <w:rsid w:val="002515C9"/>
    <w:rsid w:val="0025181B"/>
    <w:rsid w:val="00252028"/>
    <w:rsid w:val="002537F5"/>
    <w:rsid w:val="0025380B"/>
    <w:rsid w:val="002538C0"/>
    <w:rsid w:val="00253C4B"/>
    <w:rsid w:val="0025491D"/>
    <w:rsid w:val="00254FF4"/>
    <w:rsid w:val="00255717"/>
    <w:rsid w:val="00255838"/>
    <w:rsid w:val="00255D74"/>
    <w:rsid w:val="00257C16"/>
    <w:rsid w:val="00257F8A"/>
    <w:rsid w:val="00260AC3"/>
    <w:rsid w:val="00260BAD"/>
    <w:rsid w:val="00261588"/>
    <w:rsid w:val="00261597"/>
    <w:rsid w:val="002615CA"/>
    <w:rsid w:val="00261710"/>
    <w:rsid w:val="00261EE8"/>
    <w:rsid w:val="00262947"/>
    <w:rsid w:val="00262950"/>
    <w:rsid w:val="00262F79"/>
    <w:rsid w:val="00263355"/>
    <w:rsid w:val="00263CFB"/>
    <w:rsid w:val="00264C6B"/>
    <w:rsid w:val="00264F40"/>
    <w:rsid w:val="00265339"/>
    <w:rsid w:val="002667F2"/>
    <w:rsid w:val="0026720A"/>
    <w:rsid w:val="0026773A"/>
    <w:rsid w:val="00267B49"/>
    <w:rsid w:val="002708C7"/>
    <w:rsid w:val="00270C18"/>
    <w:rsid w:val="002714A1"/>
    <w:rsid w:val="002724A1"/>
    <w:rsid w:val="00272BA5"/>
    <w:rsid w:val="00273507"/>
    <w:rsid w:val="00274B16"/>
    <w:rsid w:val="00275241"/>
    <w:rsid w:val="00277270"/>
    <w:rsid w:val="00277BE9"/>
    <w:rsid w:val="002801D5"/>
    <w:rsid w:val="00281283"/>
    <w:rsid w:val="002853A3"/>
    <w:rsid w:val="00285621"/>
    <w:rsid w:val="002860A4"/>
    <w:rsid w:val="0028615A"/>
    <w:rsid w:val="00287EA4"/>
    <w:rsid w:val="00290A8F"/>
    <w:rsid w:val="00290AF1"/>
    <w:rsid w:val="0029112B"/>
    <w:rsid w:val="00291352"/>
    <w:rsid w:val="00291434"/>
    <w:rsid w:val="00292016"/>
    <w:rsid w:val="00292264"/>
    <w:rsid w:val="002926A8"/>
    <w:rsid w:val="002930CE"/>
    <w:rsid w:val="0029325D"/>
    <w:rsid w:val="00293C1A"/>
    <w:rsid w:val="00293C3A"/>
    <w:rsid w:val="00294DE8"/>
    <w:rsid w:val="00295051"/>
    <w:rsid w:val="00295920"/>
    <w:rsid w:val="002965EA"/>
    <w:rsid w:val="00297100"/>
    <w:rsid w:val="002A0595"/>
    <w:rsid w:val="002A06E0"/>
    <w:rsid w:val="002A1CDB"/>
    <w:rsid w:val="002A2A69"/>
    <w:rsid w:val="002A2FAC"/>
    <w:rsid w:val="002A300C"/>
    <w:rsid w:val="002A3939"/>
    <w:rsid w:val="002A505C"/>
    <w:rsid w:val="002A5592"/>
    <w:rsid w:val="002A5E9E"/>
    <w:rsid w:val="002A6473"/>
    <w:rsid w:val="002A67F5"/>
    <w:rsid w:val="002A6CD4"/>
    <w:rsid w:val="002A7514"/>
    <w:rsid w:val="002A7E40"/>
    <w:rsid w:val="002B0BF5"/>
    <w:rsid w:val="002B2F81"/>
    <w:rsid w:val="002B33E9"/>
    <w:rsid w:val="002B355E"/>
    <w:rsid w:val="002B3E67"/>
    <w:rsid w:val="002B4CA3"/>
    <w:rsid w:val="002B4D41"/>
    <w:rsid w:val="002B5749"/>
    <w:rsid w:val="002B708B"/>
    <w:rsid w:val="002B7BA9"/>
    <w:rsid w:val="002C0421"/>
    <w:rsid w:val="002C0B78"/>
    <w:rsid w:val="002C102E"/>
    <w:rsid w:val="002C1DFD"/>
    <w:rsid w:val="002C2F13"/>
    <w:rsid w:val="002C4025"/>
    <w:rsid w:val="002C47EF"/>
    <w:rsid w:val="002C5158"/>
    <w:rsid w:val="002C58BF"/>
    <w:rsid w:val="002C6B21"/>
    <w:rsid w:val="002C705C"/>
    <w:rsid w:val="002C7D30"/>
    <w:rsid w:val="002C7EF4"/>
    <w:rsid w:val="002D0530"/>
    <w:rsid w:val="002D05A6"/>
    <w:rsid w:val="002D0AA0"/>
    <w:rsid w:val="002D0AD3"/>
    <w:rsid w:val="002D0AF6"/>
    <w:rsid w:val="002D0CEE"/>
    <w:rsid w:val="002D0E96"/>
    <w:rsid w:val="002D1975"/>
    <w:rsid w:val="002D2261"/>
    <w:rsid w:val="002D230A"/>
    <w:rsid w:val="002D2B08"/>
    <w:rsid w:val="002D357A"/>
    <w:rsid w:val="002D5F32"/>
    <w:rsid w:val="002D6230"/>
    <w:rsid w:val="002D6DCF"/>
    <w:rsid w:val="002D6E3A"/>
    <w:rsid w:val="002D7103"/>
    <w:rsid w:val="002D7508"/>
    <w:rsid w:val="002E0D1B"/>
    <w:rsid w:val="002E1772"/>
    <w:rsid w:val="002E2217"/>
    <w:rsid w:val="002E28EB"/>
    <w:rsid w:val="002E290F"/>
    <w:rsid w:val="002E29A7"/>
    <w:rsid w:val="002E32CD"/>
    <w:rsid w:val="002E3A3B"/>
    <w:rsid w:val="002E3E5F"/>
    <w:rsid w:val="002E45B9"/>
    <w:rsid w:val="002E489F"/>
    <w:rsid w:val="002E547F"/>
    <w:rsid w:val="002E580F"/>
    <w:rsid w:val="002E5B18"/>
    <w:rsid w:val="002E5CF5"/>
    <w:rsid w:val="002E7BF2"/>
    <w:rsid w:val="002F049D"/>
    <w:rsid w:val="002F0A42"/>
    <w:rsid w:val="002F1127"/>
    <w:rsid w:val="002F1314"/>
    <w:rsid w:val="002F17BA"/>
    <w:rsid w:val="002F185A"/>
    <w:rsid w:val="002F1F4A"/>
    <w:rsid w:val="002F232B"/>
    <w:rsid w:val="002F3DB9"/>
    <w:rsid w:val="002F427A"/>
    <w:rsid w:val="002F48D4"/>
    <w:rsid w:val="002F51BD"/>
    <w:rsid w:val="002F54C9"/>
    <w:rsid w:val="002F566B"/>
    <w:rsid w:val="002F7255"/>
    <w:rsid w:val="002F73F4"/>
    <w:rsid w:val="002F7782"/>
    <w:rsid w:val="002F77D9"/>
    <w:rsid w:val="00300574"/>
    <w:rsid w:val="0030181B"/>
    <w:rsid w:val="003024D4"/>
    <w:rsid w:val="003029DC"/>
    <w:rsid w:val="00302B54"/>
    <w:rsid w:val="00303CDE"/>
    <w:rsid w:val="003045F4"/>
    <w:rsid w:val="00304AF2"/>
    <w:rsid w:val="00304E7D"/>
    <w:rsid w:val="00304EFD"/>
    <w:rsid w:val="0030574F"/>
    <w:rsid w:val="00306202"/>
    <w:rsid w:val="00307D62"/>
    <w:rsid w:val="00307FCA"/>
    <w:rsid w:val="00310554"/>
    <w:rsid w:val="00312254"/>
    <w:rsid w:val="0031235D"/>
    <w:rsid w:val="00312853"/>
    <w:rsid w:val="0031374E"/>
    <w:rsid w:val="00314D29"/>
    <w:rsid w:val="00315BE0"/>
    <w:rsid w:val="00315BF4"/>
    <w:rsid w:val="00315D82"/>
    <w:rsid w:val="00315DAC"/>
    <w:rsid w:val="00316B0F"/>
    <w:rsid w:val="0031716E"/>
    <w:rsid w:val="003172EE"/>
    <w:rsid w:val="003175FB"/>
    <w:rsid w:val="003200DE"/>
    <w:rsid w:val="00321492"/>
    <w:rsid w:val="00322798"/>
    <w:rsid w:val="00322F2D"/>
    <w:rsid w:val="003237A4"/>
    <w:rsid w:val="00323BE3"/>
    <w:rsid w:val="00323C0D"/>
    <w:rsid w:val="00324967"/>
    <w:rsid w:val="00325BAE"/>
    <w:rsid w:val="00325F46"/>
    <w:rsid w:val="00326388"/>
    <w:rsid w:val="0032668B"/>
    <w:rsid w:val="00326EE7"/>
    <w:rsid w:val="00327233"/>
    <w:rsid w:val="003302F4"/>
    <w:rsid w:val="003307C3"/>
    <w:rsid w:val="00331502"/>
    <w:rsid w:val="00331DBD"/>
    <w:rsid w:val="00331E0D"/>
    <w:rsid w:val="00331FEB"/>
    <w:rsid w:val="003332E2"/>
    <w:rsid w:val="003342DB"/>
    <w:rsid w:val="00334352"/>
    <w:rsid w:val="00334BC5"/>
    <w:rsid w:val="00334CE2"/>
    <w:rsid w:val="00334DD6"/>
    <w:rsid w:val="00335DB9"/>
    <w:rsid w:val="00336528"/>
    <w:rsid w:val="00336B57"/>
    <w:rsid w:val="00337597"/>
    <w:rsid w:val="00337815"/>
    <w:rsid w:val="00337969"/>
    <w:rsid w:val="003379FF"/>
    <w:rsid w:val="00337F65"/>
    <w:rsid w:val="00337FF4"/>
    <w:rsid w:val="003402B0"/>
    <w:rsid w:val="003413F0"/>
    <w:rsid w:val="003417F7"/>
    <w:rsid w:val="00341CAB"/>
    <w:rsid w:val="00342EB6"/>
    <w:rsid w:val="00343281"/>
    <w:rsid w:val="003434C4"/>
    <w:rsid w:val="003439F9"/>
    <w:rsid w:val="00343A07"/>
    <w:rsid w:val="00343CB8"/>
    <w:rsid w:val="00344655"/>
    <w:rsid w:val="00345447"/>
    <w:rsid w:val="00345504"/>
    <w:rsid w:val="00345939"/>
    <w:rsid w:val="003474A9"/>
    <w:rsid w:val="00351127"/>
    <w:rsid w:val="00351FCF"/>
    <w:rsid w:val="00352A3F"/>
    <w:rsid w:val="00352B8D"/>
    <w:rsid w:val="00352E72"/>
    <w:rsid w:val="00354B90"/>
    <w:rsid w:val="00354D69"/>
    <w:rsid w:val="00354D9C"/>
    <w:rsid w:val="003555D4"/>
    <w:rsid w:val="003574D0"/>
    <w:rsid w:val="00357544"/>
    <w:rsid w:val="0035773C"/>
    <w:rsid w:val="00360A39"/>
    <w:rsid w:val="00360B5D"/>
    <w:rsid w:val="00360CA9"/>
    <w:rsid w:val="0036143D"/>
    <w:rsid w:val="00361788"/>
    <w:rsid w:val="00361BB1"/>
    <w:rsid w:val="00362075"/>
    <w:rsid w:val="0036217E"/>
    <w:rsid w:val="0036262D"/>
    <w:rsid w:val="00363673"/>
    <w:rsid w:val="0036480C"/>
    <w:rsid w:val="0036488C"/>
    <w:rsid w:val="00366B5B"/>
    <w:rsid w:val="00366E5C"/>
    <w:rsid w:val="00367107"/>
    <w:rsid w:val="00367150"/>
    <w:rsid w:val="003671A1"/>
    <w:rsid w:val="00367FCB"/>
    <w:rsid w:val="00370C93"/>
    <w:rsid w:val="00371E13"/>
    <w:rsid w:val="00372575"/>
    <w:rsid w:val="003729B9"/>
    <w:rsid w:val="00372C2A"/>
    <w:rsid w:val="003731CF"/>
    <w:rsid w:val="003740B9"/>
    <w:rsid w:val="00375349"/>
    <w:rsid w:val="0037670A"/>
    <w:rsid w:val="00377FA2"/>
    <w:rsid w:val="00380856"/>
    <w:rsid w:val="00382284"/>
    <w:rsid w:val="003843DE"/>
    <w:rsid w:val="00385833"/>
    <w:rsid w:val="00385CC2"/>
    <w:rsid w:val="00386AEA"/>
    <w:rsid w:val="00387224"/>
    <w:rsid w:val="003878DD"/>
    <w:rsid w:val="00387C75"/>
    <w:rsid w:val="00391728"/>
    <w:rsid w:val="00391FAB"/>
    <w:rsid w:val="00392029"/>
    <w:rsid w:val="00392626"/>
    <w:rsid w:val="0039281A"/>
    <w:rsid w:val="00392AD4"/>
    <w:rsid w:val="0039429D"/>
    <w:rsid w:val="00394630"/>
    <w:rsid w:val="00396640"/>
    <w:rsid w:val="003966D6"/>
    <w:rsid w:val="003A002E"/>
    <w:rsid w:val="003A132C"/>
    <w:rsid w:val="003A2045"/>
    <w:rsid w:val="003A2543"/>
    <w:rsid w:val="003A2DE0"/>
    <w:rsid w:val="003A4154"/>
    <w:rsid w:val="003A4574"/>
    <w:rsid w:val="003A4ECF"/>
    <w:rsid w:val="003A53CD"/>
    <w:rsid w:val="003A6173"/>
    <w:rsid w:val="003A772D"/>
    <w:rsid w:val="003B0C8C"/>
    <w:rsid w:val="003B141D"/>
    <w:rsid w:val="003B246A"/>
    <w:rsid w:val="003B27EB"/>
    <w:rsid w:val="003B2A50"/>
    <w:rsid w:val="003B2C7F"/>
    <w:rsid w:val="003B4089"/>
    <w:rsid w:val="003B4E59"/>
    <w:rsid w:val="003B5366"/>
    <w:rsid w:val="003B5CE7"/>
    <w:rsid w:val="003B5EB8"/>
    <w:rsid w:val="003B61E4"/>
    <w:rsid w:val="003B6DD3"/>
    <w:rsid w:val="003B742E"/>
    <w:rsid w:val="003B7452"/>
    <w:rsid w:val="003B79DF"/>
    <w:rsid w:val="003C03E9"/>
    <w:rsid w:val="003C09FE"/>
    <w:rsid w:val="003C1507"/>
    <w:rsid w:val="003C2087"/>
    <w:rsid w:val="003C20A5"/>
    <w:rsid w:val="003C30F7"/>
    <w:rsid w:val="003C39CC"/>
    <w:rsid w:val="003C40FB"/>
    <w:rsid w:val="003C42E6"/>
    <w:rsid w:val="003C5228"/>
    <w:rsid w:val="003C534F"/>
    <w:rsid w:val="003C5E02"/>
    <w:rsid w:val="003C6851"/>
    <w:rsid w:val="003C6A55"/>
    <w:rsid w:val="003C6B8A"/>
    <w:rsid w:val="003C71F3"/>
    <w:rsid w:val="003C7DEA"/>
    <w:rsid w:val="003C7FD5"/>
    <w:rsid w:val="003D0BB2"/>
    <w:rsid w:val="003D10B7"/>
    <w:rsid w:val="003D1536"/>
    <w:rsid w:val="003D29E9"/>
    <w:rsid w:val="003D2BBD"/>
    <w:rsid w:val="003D332F"/>
    <w:rsid w:val="003D3650"/>
    <w:rsid w:val="003D3BF5"/>
    <w:rsid w:val="003D3F93"/>
    <w:rsid w:val="003D4C03"/>
    <w:rsid w:val="003D53D8"/>
    <w:rsid w:val="003D55AE"/>
    <w:rsid w:val="003D5FC7"/>
    <w:rsid w:val="003D6B4A"/>
    <w:rsid w:val="003D6F79"/>
    <w:rsid w:val="003D746D"/>
    <w:rsid w:val="003D7A58"/>
    <w:rsid w:val="003E0AD8"/>
    <w:rsid w:val="003E0ADC"/>
    <w:rsid w:val="003E353E"/>
    <w:rsid w:val="003E36C7"/>
    <w:rsid w:val="003E5461"/>
    <w:rsid w:val="003E6423"/>
    <w:rsid w:val="003E6B51"/>
    <w:rsid w:val="003E703C"/>
    <w:rsid w:val="003E71A6"/>
    <w:rsid w:val="003F0590"/>
    <w:rsid w:val="003F071F"/>
    <w:rsid w:val="003F0F64"/>
    <w:rsid w:val="003F1FD9"/>
    <w:rsid w:val="003F2118"/>
    <w:rsid w:val="003F3839"/>
    <w:rsid w:val="003F39DF"/>
    <w:rsid w:val="003F402A"/>
    <w:rsid w:val="003F47B3"/>
    <w:rsid w:val="003F47FB"/>
    <w:rsid w:val="003F5B3D"/>
    <w:rsid w:val="003F62B4"/>
    <w:rsid w:val="003F6D5F"/>
    <w:rsid w:val="003F7527"/>
    <w:rsid w:val="003F7883"/>
    <w:rsid w:val="004000BA"/>
    <w:rsid w:val="00400588"/>
    <w:rsid w:val="00401A20"/>
    <w:rsid w:val="0040311B"/>
    <w:rsid w:val="00403A9B"/>
    <w:rsid w:val="00405BB4"/>
    <w:rsid w:val="004063BD"/>
    <w:rsid w:val="004063D6"/>
    <w:rsid w:val="00406A6D"/>
    <w:rsid w:val="00407210"/>
    <w:rsid w:val="004078FD"/>
    <w:rsid w:val="00410097"/>
    <w:rsid w:val="004107B3"/>
    <w:rsid w:val="00410844"/>
    <w:rsid w:val="00410F56"/>
    <w:rsid w:val="00410FE7"/>
    <w:rsid w:val="004116B5"/>
    <w:rsid w:val="00411C50"/>
    <w:rsid w:val="0041238A"/>
    <w:rsid w:val="00413304"/>
    <w:rsid w:val="0041337C"/>
    <w:rsid w:val="004168DB"/>
    <w:rsid w:val="00417139"/>
    <w:rsid w:val="00417562"/>
    <w:rsid w:val="0042021F"/>
    <w:rsid w:val="00420481"/>
    <w:rsid w:val="00420528"/>
    <w:rsid w:val="00421091"/>
    <w:rsid w:val="00421D06"/>
    <w:rsid w:val="004226B8"/>
    <w:rsid w:val="004227C4"/>
    <w:rsid w:val="00423679"/>
    <w:rsid w:val="0042381A"/>
    <w:rsid w:val="00423FC4"/>
    <w:rsid w:val="00425C83"/>
    <w:rsid w:val="00425D35"/>
    <w:rsid w:val="004262AB"/>
    <w:rsid w:val="00426C64"/>
    <w:rsid w:val="00426D75"/>
    <w:rsid w:val="00427E49"/>
    <w:rsid w:val="00430152"/>
    <w:rsid w:val="00430A44"/>
    <w:rsid w:val="00431069"/>
    <w:rsid w:val="004320B2"/>
    <w:rsid w:val="00432133"/>
    <w:rsid w:val="00432620"/>
    <w:rsid w:val="004329F5"/>
    <w:rsid w:val="00432B38"/>
    <w:rsid w:val="00433283"/>
    <w:rsid w:val="004333A4"/>
    <w:rsid w:val="004336A7"/>
    <w:rsid w:val="00433909"/>
    <w:rsid w:val="00433EE7"/>
    <w:rsid w:val="004349B8"/>
    <w:rsid w:val="00434B8E"/>
    <w:rsid w:val="00434DC0"/>
    <w:rsid w:val="004372FD"/>
    <w:rsid w:val="00440428"/>
    <w:rsid w:val="00440F4D"/>
    <w:rsid w:val="00441C09"/>
    <w:rsid w:val="0044204C"/>
    <w:rsid w:val="00442489"/>
    <w:rsid w:val="004434D9"/>
    <w:rsid w:val="00443D53"/>
    <w:rsid w:val="00443F07"/>
    <w:rsid w:val="004443A2"/>
    <w:rsid w:val="004459BE"/>
    <w:rsid w:val="00445B43"/>
    <w:rsid w:val="004477A1"/>
    <w:rsid w:val="00447803"/>
    <w:rsid w:val="00447AF6"/>
    <w:rsid w:val="00447BC1"/>
    <w:rsid w:val="00447CE3"/>
    <w:rsid w:val="00447F23"/>
    <w:rsid w:val="00450246"/>
    <w:rsid w:val="004504C7"/>
    <w:rsid w:val="00450AA0"/>
    <w:rsid w:val="00450E87"/>
    <w:rsid w:val="0045173D"/>
    <w:rsid w:val="004529DB"/>
    <w:rsid w:val="004536C2"/>
    <w:rsid w:val="00453AEA"/>
    <w:rsid w:val="004544E9"/>
    <w:rsid w:val="00454582"/>
    <w:rsid w:val="0045611C"/>
    <w:rsid w:val="00456571"/>
    <w:rsid w:val="00460AD3"/>
    <w:rsid w:val="00460B5D"/>
    <w:rsid w:val="00461ABC"/>
    <w:rsid w:val="00461B16"/>
    <w:rsid w:val="00461B7A"/>
    <w:rsid w:val="00461DE2"/>
    <w:rsid w:val="00461EBD"/>
    <w:rsid w:val="00462C92"/>
    <w:rsid w:val="00462D0F"/>
    <w:rsid w:val="00463877"/>
    <w:rsid w:val="00464085"/>
    <w:rsid w:val="004644E3"/>
    <w:rsid w:val="00466468"/>
    <w:rsid w:val="00466AB7"/>
    <w:rsid w:val="00470C0C"/>
    <w:rsid w:val="004710C0"/>
    <w:rsid w:val="00471A8B"/>
    <w:rsid w:val="0047223B"/>
    <w:rsid w:val="004722E0"/>
    <w:rsid w:val="00474349"/>
    <w:rsid w:val="004757C8"/>
    <w:rsid w:val="00476248"/>
    <w:rsid w:val="004764A8"/>
    <w:rsid w:val="004769A8"/>
    <w:rsid w:val="00476ECD"/>
    <w:rsid w:val="00476F21"/>
    <w:rsid w:val="00477645"/>
    <w:rsid w:val="00477A5A"/>
    <w:rsid w:val="00477D43"/>
    <w:rsid w:val="00477EE0"/>
    <w:rsid w:val="0048053E"/>
    <w:rsid w:val="00480560"/>
    <w:rsid w:val="00480A04"/>
    <w:rsid w:val="00480A2C"/>
    <w:rsid w:val="00482FCD"/>
    <w:rsid w:val="0048365D"/>
    <w:rsid w:val="00483776"/>
    <w:rsid w:val="00485020"/>
    <w:rsid w:val="004855D8"/>
    <w:rsid w:val="004862BC"/>
    <w:rsid w:val="004863D2"/>
    <w:rsid w:val="0048668F"/>
    <w:rsid w:val="00486C70"/>
    <w:rsid w:val="00486C8E"/>
    <w:rsid w:val="004872B7"/>
    <w:rsid w:val="0048732D"/>
    <w:rsid w:val="004878FB"/>
    <w:rsid w:val="00490676"/>
    <w:rsid w:val="00490A8E"/>
    <w:rsid w:val="004910F2"/>
    <w:rsid w:val="00491BAA"/>
    <w:rsid w:val="004925FA"/>
    <w:rsid w:val="004928AB"/>
    <w:rsid w:val="00493ADE"/>
    <w:rsid w:val="00494109"/>
    <w:rsid w:val="00494720"/>
    <w:rsid w:val="00494A20"/>
    <w:rsid w:val="00494B54"/>
    <w:rsid w:val="00495BAE"/>
    <w:rsid w:val="004960E3"/>
    <w:rsid w:val="00496316"/>
    <w:rsid w:val="00496361"/>
    <w:rsid w:val="00497923"/>
    <w:rsid w:val="004A05BF"/>
    <w:rsid w:val="004A17BF"/>
    <w:rsid w:val="004A238F"/>
    <w:rsid w:val="004A2648"/>
    <w:rsid w:val="004A3662"/>
    <w:rsid w:val="004A382D"/>
    <w:rsid w:val="004A4693"/>
    <w:rsid w:val="004A4AF8"/>
    <w:rsid w:val="004A4D62"/>
    <w:rsid w:val="004A5FBF"/>
    <w:rsid w:val="004A6947"/>
    <w:rsid w:val="004A7125"/>
    <w:rsid w:val="004A7336"/>
    <w:rsid w:val="004A7E83"/>
    <w:rsid w:val="004B0A56"/>
    <w:rsid w:val="004B0F75"/>
    <w:rsid w:val="004B11A7"/>
    <w:rsid w:val="004B2739"/>
    <w:rsid w:val="004B2B00"/>
    <w:rsid w:val="004B3191"/>
    <w:rsid w:val="004B42E7"/>
    <w:rsid w:val="004B5F60"/>
    <w:rsid w:val="004B60CA"/>
    <w:rsid w:val="004B6201"/>
    <w:rsid w:val="004B665B"/>
    <w:rsid w:val="004B6933"/>
    <w:rsid w:val="004B69D6"/>
    <w:rsid w:val="004B70E2"/>
    <w:rsid w:val="004B7A21"/>
    <w:rsid w:val="004C0051"/>
    <w:rsid w:val="004C01FF"/>
    <w:rsid w:val="004C07FE"/>
    <w:rsid w:val="004C0E96"/>
    <w:rsid w:val="004C1718"/>
    <w:rsid w:val="004C23B4"/>
    <w:rsid w:val="004C3627"/>
    <w:rsid w:val="004C3C3E"/>
    <w:rsid w:val="004C3CBF"/>
    <w:rsid w:val="004C464C"/>
    <w:rsid w:val="004C4732"/>
    <w:rsid w:val="004C6AA9"/>
    <w:rsid w:val="004C6ACC"/>
    <w:rsid w:val="004D0961"/>
    <w:rsid w:val="004D125E"/>
    <w:rsid w:val="004D1299"/>
    <w:rsid w:val="004D1853"/>
    <w:rsid w:val="004D1CED"/>
    <w:rsid w:val="004D357C"/>
    <w:rsid w:val="004D35AD"/>
    <w:rsid w:val="004D4459"/>
    <w:rsid w:val="004D6D7D"/>
    <w:rsid w:val="004D72CA"/>
    <w:rsid w:val="004D7A70"/>
    <w:rsid w:val="004E0EC5"/>
    <w:rsid w:val="004E120E"/>
    <w:rsid w:val="004E26C4"/>
    <w:rsid w:val="004E3294"/>
    <w:rsid w:val="004E461F"/>
    <w:rsid w:val="004E4FDD"/>
    <w:rsid w:val="004E5D46"/>
    <w:rsid w:val="004E6173"/>
    <w:rsid w:val="004E6A7A"/>
    <w:rsid w:val="004E78B8"/>
    <w:rsid w:val="004E7967"/>
    <w:rsid w:val="004F0605"/>
    <w:rsid w:val="004F06EA"/>
    <w:rsid w:val="004F27CF"/>
    <w:rsid w:val="004F29D8"/>
    <w:rsid w:val="004F2C4C"/>
    <w:rsid w:val="004F3585"/>
    <w:rsid w:val="004F3B3A"/>
    <w:rsid w:val="004F3C7C"/>
    <w:rsid w:val="004F401D"/>
    <w:rsid w:val="004F4076"/>
    <w:rsid w:val="004F52CF"/>
    <w:rsid w:val="004F541A"/>
    <w:rsid w:val="004F570C"/>
    <w:rsid w:val="004F6D2D"/>
    <w:rsid w:val="004F710F"/>
    <w:rsid w:val="004F7385"/>
    <w:rsid w:val="004F7395"/>
    <w:rsid w:val="004F76E2"/>
    <w:rsid w:val="004F7912"/>
    <w:rsid w:val="00502829"/>
    <w:rsid w:val="00502CEF"/>
    <w:rsid w:val="00503953"/>
    <w:rsid w:val="00504EBF"/>
    <w:rsid w:val="0050524C"/>
    <w:rsid w:val="005052F0"/>
    <w:rsid w:val="00505C32"/>
    <w:rsid w:val="00505F81"/>
    <w:rsid w:val="00506748"/>
    <w:rsid w:val="00506E5C"/>
    <w:rsid w:val="00507EE2"/>
    <w:rsid w:val="0051137F"/>
    <w:rsid w:val="005115D6"/>
    <w:rsid w:val="0051169B"/>
    <w:rsid w:val="00512103"/>
    <w:rsid w:val="005121A0"/>
    <w:rsid w:val="00512597"/>
    <w:rsid w:val="00512A70"/>
    <w:rsid w:val="00512AC1"/>
    <w:rsid w:val="00512D48"/>
    <w:rsid w:val="00514EB8"/>
    <w:rsid w:val="00515877"/>
    <w:rsid w:val="0051673C"/>
    <w:rsid w:val="005169BB"/>
    <w:rsid w:val="0052014E"/>
    <w:rsid w:val="00520B41"/>
    <w:rsid w:val="00521D1C"/>
    <w:rsid w:val="00521D36"/>
    <w:rsid w:val="005220E1"/>
    <w:rsid w:val="005225E0"/>
    <w:rsid w:val="0052297A"/>
    <w:rsid w:val="00522992"/>
    <w:rsid w:val="00522A51"/>
    <w:rsid w:val="00523452"/>
    <w:rsid w:val="00523C4F"/>
    <w:rsid w:val="00523E1B"/>
    <w:rsid w:val="00524517"/>
    <w:rsid w:val="005248B7"/>
    <w:rsid w:val="005249C5"/>
    <w:rsid w:val="00524CB1"/>
    <w:rsid w:val="00525244"/>
    <w:rsid w:val="0052539D"/>
    <w:rsid w:val="00525866"/>
    <w:rsid w:val="005277FE"/>
    <w:rsid w:val="00527A9F"/>
    <w:rsid w:val="00527D7E"/>
    <w:rsid w:val="00527F4C"/>
    <w:rsid w:val="00530BA6"/>
    <w:rsid w:val="00531937"/>
    <w:rsid w:val="00531999"/>
    <w:rsid w:val="00531C08"/>
    <w:rsid w:val="00532607"/>
    <w:rsid w:val="00532C20"/>
    <w:rsid w:val="00534502"/>
    <w:rsid w:val="00535056"/>
    <w:rsid w:val="00536017"/>
    <w:rsid w:val="0053651E"/>
    <w:rsid w:val="00537AF1"/>
    <w:rsid w:val="00540070"/>
    <w:rsid w:val="00541179"/>
    <w:rsid w:val="00543698"/>
    <w:rsid w:val="00543803"/>
    <w:rsid w:val="00543906"/>
    <w:rsid w:val="00543988"/>
    <w:rsid w:val="0054462D"/>
    <w:rsid w:val="00544DF4"/>
    <w:rsid w:val="00544E58"/>
    <w:rsid w:val="0054543E"/>
    <w:rsid w:val="00546014"/>
    <w:rsid w:val="0054692A"/>
    <w:rsid w:val="00546ADB"/>
    <w:rsid w:val="00547983"/>
    <w:rsid w:val="00547A27"/>
    <w:rsid w:val="00547AD7"/>
    <w:rsid w:val="00547E99"/>
    <w:rsid w:val="0055110F"/>
    <w:rsid w:val="0055132F"/>
    <w:rsid w:val="005523C8"/>
    <w:rsid w:val="0055275F"/>
    <w:rsid w:val="00554347"/>
    <w:rsid w:val="00554B22"/>
    <w:rsid w:val="00554D35"/>
    <w:rsid w:val="005550E8"/>
    <w:rsid w:val="005550F3"/>
    <w:rsid w:val="0055560B"/>
    <w:rsid w:val="00555FCC"/>
    <w:rsid w:val="005563B1"/>
    <w:rsid w:val="0055695B"/>
    <w:rsid w:val="00556B3A"/>
    <w:rsid w:val="00560056"/>
    <w:rsid w:val="0056070F"/>
    <w:rsid w:val="0056074B"/>
    <w:rsid w:val="00560AF9"/>
    <w:rsid w:val="00560B26"/>
    <w:rsid w:val="00560B9C"/>
    <w:rsid w:val="00560E52"/>
    <w:rsid w:val="00561286"/>
    <w:rsid w:val="005620AD"/>
    <w:rsid w:val="00563B43"/>
    <w:rsid w:val="00563E49"/>
    <w:rsid w:val="00563E51"/>
    <w:rsid w:val="00564569"/>
    <w:rsid w:val="00565959"/>
    <w:rsid w:val="005679D7"/>
    <w:rsid w:val="00567B27"/>
    <w:rsid w:val="00570114"/>
    <w:rsid w:val="005704DC"/>
    <w:rsid w:val="00571552"/>
    <w:rsid w:val="005718D9"/>
    <w:rsid w:val="00571930"/>
    <w:rsid w:val="00572B64"/>
    <w:rsid w:val="00572C1F"/>
    <w:rsid w:val="0057491D"/>
    <w:rsid w:val="005753AC"/>
    <w:rsid w:val="00575610"/>
    <w:rsid w:val="00575CDC"/>
    <w:rsid w:val="005762D3"/>
    <w:rsid w:val="00576E63"/>
    <w:rsid w:val="00577FEA"/>
    <w:rsid w:val="005808C6"/>
    <w:rsid w:val="005838D4"/>
    <w:rsid w:val="00583F89"/>
    <w:rsid w:val="005842B5"/>
    <w:rsid w:val="00584E0D"/>
    <w:rsid w:val="0058506E"/>
    <w:rsid w:val="00585F3C"/>
    <w:rsid w:val="005867CF"/>
    <w:rsid w:val="0058709F"/>
    <w:rsid w:val="00587193"/>
    <w:rsid w:val="005907C6"/>
    <w:rsid w:val="00591763"/>
    <w:rsid w:val="005918B0"/>
    <w:rsid w:val="005921F9"/>
    <w:rsid w:val="00592E0E"/>
    <w:rsid w:val="0059319B"/>
    <w:rsid w:val="00593D62"/>
    <w:rsid w:val="005944F7"/>
    <w:rsid w:val="00595BAD"/>
    <w:rsid w:val="005967D1"/>
    <w:rsid w:val="00596C60"/>
    <w:rsid w:val="00597BFF"/>
    <w:rsid w:val="005A0501"/>
    <w:rsid w:val="005A0692"/>
    <w:rsid w:val="005A14B9"/>
    <w:rsid w:val="005A1A2E"/>
    <w:rsid w:val="005A233F"/>
    <w:rsid w:val="005A2DE3"/>
    <w:rsid w:val="005A3160"/>
    <w:rsid w:val="005A354C"/>
    <w:rsid w:val="005A3E8C"/>
    <w:rsid w:val="005A49CF"/>
    <w:rsid w:val="005A4ABC"/>
    <w:rsid w:val="005A4D94"/>
    <w:rsid w:val="005A5E69"/>
    <w:rsid w:val="005A72FB"/>
    <w:rsid w:val="005A7423"/>
    <w:rsid w:val="005A7C64"/>
    <w:rsid w:val="005B0366"/>
    <w:rsid w:val="005B12C0"/>
    <w:rsid w:val="005B15A2"/>
    <w:rsid w:val="005B1DB8"/>
    <w:rsid w:val="005B2141"/>
    <w:rsid w:val="005B24EE"/>
    <w:rsid w:val="005B2ED7"/>
    <w:rsid w:val="005B3244"/>
    <w:rsid w:val="005B335D"/>
    <w:rsid w:val="005B37AC"/>
    <w:rsid w:val="005B38AE"/>
    <w:rsid w:val="005B3AB8"/>
    <w:rsid w:val="005B3AC3"/>
    <w:rsid w:val="005B5D09"/>
    <w:rsid w:val="005B6439"/>
    <w:rsid w:val="005B756D"/>
    <w:rsid w:val="005C1D65"/>
    <w:rsid w:val="005C346E"/>
    <w:rsid w:val="005C352A"/>
    <w:rsid w:val="005C456E"/>
    <w:rsid w:val="005C47F7"/>
    <w:rsid w:val="005C4FCF"/>
    <w:rsid w:val="005C50AE"/>
    <w:rsid w:val="005C55EF"/>
    <w:rsid w:val="005C5A44"/>
    <w:rsid w:val="005C6641"/>
    <w:rsid w:val="005C6852"/>
    <w:rsid w:val="005C7302"/>
    <w:rsid w:val="005D0E79"/>
    <w:rsid w:val="005D1C94"/>
    <w:rsid w:val="005D295E"/>
    <w:rsid w:val="005D334A"/>
    <w:rsid w:val="005D3A59"/>
    <w:rsid w:val="005D45A5"/>
    <w:rsid w:val="005D4A73"/>
    <w:rsid w:val="005D5CD3"/>
    <w:rsid w:val="005D6102"/>
    <w:rsid w:val="005D6843"/>
    <w:rsid w:val="005E0837"/>
    <w:rsid w:val="005E2B1D"/>
    <w:rsid w:val="005E315F"/>
    <w:rsid w:val="005E3727"/>
    <w:rsid w:val="005E3A0F"/>
    <w:rsid w:val="005E4359"/>
    <w:rsid w:val="005E4682"/>
    <w:rsid w:val="005E4AB5"/>
    <w:rsid w:val="005E5D45"/>
    <w:rsid w:val="005E647F"/>
    <w:rsid w:val="005E64D8"/>
    <w:rsid w:val="005E68BB"/>
    <w:rsid w:val="005E691C"/>
    <w:rsid w:val="005E6FA3"/>
    <w:rsid w:val="005E78E3"/>
    <w:rsid w:val="005E78FF"/>
    <w:rsid w:val="005E7A1A"/>
    <w:rsid w:val="005F05A1"/>
    <w:rsid w:val="005F0B3F"/>
    <w:rsid w:val="005F1AB6"/>
    <w:rsid w:val="005F1DC4"/>
    <w:rsid w:val="005F2D77"/>
    <w:rsid w:val="005F322D"/>
    <w:rsid w:val="005F3393"/>
    <w:rsid w:val="005F3C68"/>
    <w:rsid w:val="005F410A"/>
    <w:rsid w:val="005F4449"/>
    <w:rsid w:val="005F4539"/>
    <w:rsid w:val="005F5282"/>
    <w:rsid w:val="005F5A3C"/>
    <w:rsid w:val="005F5E2A"/>
    <w:rsid w:val="005F62E7"/>
    <w:rsid w:val="005F6C7B"/>
    <w:rsid w:val="005F74A2"/>
    <w:rsid w:val="005F7955"/>
    <w:rsid w:val="006005F1"/>
    <w:rsid w:val="00600620"/>
    <w:rsid w:val="0060284F"/>
    <w:rsid w:val="00602EBD"/>
    <w:rsid w:val="00603156"/>
    <w:rsid w:val="006035FA"/>
    <w:rsid w:val="00603DF9"/>
    <w:rsid w:val="006042F2"/>
    <w:rsid w:val="00604C09"/>
    <w:rsid w:val="006054DE"/>
    <w:rsid w:val="00606BEA"/>
    <w:rsid w:val="00607090"/>
    <w:rsid w:val="00607A7B"/>
    <w:rsid w:val="00607B90"/>
    <w:rsid w:val="0061011C"/>
    <w:rsid w:val="0061097A"/>
    <w:rsid w:val="00610EBD"/>
    <w:rsid w:val="006115AC"/>
    <w:rsid w:val="00611DC8"/>
    <w:rsid w:val="00612059"/>
    <w:rsid w:val="00612A58"/>
    <w:rsid w:val="00612E32"/>
    <w:rsid w:val="006132A8"/>
    <w:rsid w:val="00613578"/>
    <w:rsid w:val="0061369A"/>
    <w:rsid w:val="006151E6"/>
    <w:rsid w:val="00616A45"/>
    <w:rsid w:val="00616BB8"/>
    <w:rsid w:val="00616D4D"/>
    <w:rsid w:val="00616DDF"/>
    <w:rsid w:val="0061762E"/>
    <w:rsid w:val="00621BCE"/>
    <w:rsid w:val="00621D28"/>
    <w:rsid w:val="00621D86"/>
    <w:rsid w:val="006221EE"/>
    <w:rsid w:val="00623519"/>
    <w:rsid w:val="00624C85"/>
    <w:rsid w:val="00624E3D"/>
    <w:rsid w:val="006252F8"/>
    <w:rsid w:val="00626363"/>
    <w:rsid w:val="00626420"/>
    <w:rsid w:val="0062723B"/>
    <w:rsid w:val="00627358"/>
    <w:rsid w:val="00627868"/>
    <w:rsid w:val="00627906"/>
    <w:rsid w:val="00627C08"/>
    <w:rsid w:val="00630D24"/>
    <w:rsid w:val="00631349"/>
    <w:rsid w:val="00632AE6"/>
    <w:rsid w:val="0063336C"/>
    <w:rsid w:val="00633C02"/>
    <w:rsid w:val="00633DEE"/>
    <w:rsid w:val="00634D85"/>
    <w:rsid w:val="006358FE"/>
    <w:rsid w:val="00635F45"/>
    <w:rsid w:val="00636004"/>
    <w:rsid w:val="00636362"/>
    <w:rsid w:val="00636664"/>
    <w:rsid w:val="00636B55"/>
    <w:rsid w:val="00636CF5"/>
    <w:rsid w:val="00636E9E"/>
    <w:rsid w:val="00637E1D"/>
    <w:rsid w:val="0064097F"/>
    <w:rsid w:val="00640D50"/>
    <w:rsid w:val="00641280"/>
    <w:rsid w:val="00641598"/>
    <w:rsid w:val="006426E8"/>
    <w:rsid w:val="00642E2E"/>
    <w:rsid w:val="00643583"/>
    <w:rsid w:val="00643D2F"/>
    <w:rsid w:val="00644219"/>
    <w:rsid w:val="006443BD"/>
    <w:rsid w:val="00644EC7"/>
    <w:rsid w:val="00645CC0"/>
    <w:rsid w:val="006474FD"/>
    <w:rsid w:val="00647FC2"/>
    <w:rsid w:val="00650FE7"/>
    <w:rsid w:val="00651257"/>
    <w:rsid w:val="00651AA0"/>
    <w:rsid w:val="006520DE"/>
    <w:rsid w:val="006523B5"/>
    <w:rsid w:val="00652718"/>
    <w:rsid w:val="006535A1"/>
    <w:rsid w:val="00654254"/>
    <w:rsid w:val="006542E6"/>
    <w:rsid w:val="0065440F"/>
    <w:rsid w:val="006559F5"/>
    <w:rsid w:val="00655C95"/>
    <w:rsid w:val="00656419"/>
    <w:rsid w:val="00656B67"/>
    <w:rsid w:val="00657724"/>
    <w:rsid w:val="00657A97"/>
    <w:rsid w:val="00657F96"/>
    <w:rsid w:val="00657FB8"/>
    <w:rsid w:val="00661951"/>
    <w:rsid w:val="00661F4D"/>
    <w:rsid w:val="00662350"/>
    <w:rsid w:val="0066296E"/>
    <w:rsid w:val="00662CF1"/>
    <w:rsid w:val="00663852"/>
    <w:rsid w:val="0066493B"/>
    <w:rsid w:val="0066562D"/>
    <w:rsid w:val="00665926"/>
    <w:rsid w:val="00666699"/>
    <w:rsid w:val="00667CD2"/>
    <w:rsid w:val="00670841"/>
    <w:rsid w:val="00670CAD"/>
    <w:rsid w:val="006711B9"/>
    <w:rsid w:val="0067235F"/>
    <w:rsid w:val="006726C8"/>
    <w:rsid w:val="0067270A"/>
    <w:rsid w:val="006734C4"/>
    <w:rsid w:val="00673C39"/>
    <w:rsid w:val="00674D4D"/>
    <w:rsid w:val="00674F7A"/>
    <w:rsid w:val="00674FA0"/>
    <w:rsid w:val="0067510C"/>
    <w:rsid w:val="00676C97"/>
    <w:rsid w:val="00676D63"/>
    <w:rsid w:val="00677BE8"/>
    <w:rsid w:val="006803C1"/>
    <w:rsid w:val="00680467"/>
    <w:rsid w:val="0068134C"/>
    <w:rsid w:val="006814DC"/>
    <w:rsid w:val="006819D6"/>
    <w:rsid w:val="00682014"/>
    <w:rsid w:val="00683361"/>
    <w:rsid w:val="00683E73"/>
    <w:rsid w:val="006845A0"/>
    <w:rsid w:val="00684765"/>
    <w:rsid w:val="00684D20"/>
    <w:rsid w:val="00685CD9"/>
    <w:rsid w:val="006868CD"/>
    <w:rsid w:val="006875E0"/>
    <w:rsid w:val="00687787"/>
    <w:rsid w:val="006878B4"/>
    <w:rsid w:val="00687FCE"/>
    <w:rsid w:val="006903F2"/>
    <w:rsid w:val="006907B5"/>
    <w:rsid w:val="0069130C"/>
    <w:rsid w:val="00691425"/>
    <w:rsid w:val="00691471"/>
    <w:rsid w:val="00692540"/>
    <w:rsid w:val="006938E5"/>
    <w:rsid w:val="00693CB2"/>
    <w:rsid w:val="00693D29"/>
    <w:rsid w:val="0069401E"/>
    <w:rsid w:val="00694309"/>
    <w:rsid w:val="006947F0"/>
    <w:rsid w:val="0069495E"/>
    <w:rsid w:val="006951B5"/>
    <w:rsid w:val="00695B82"/>
    <w:rsid w:val="00695F5F"/>
    <w:rsid w:val="0069605A"/>
    <w:rsid w:val="006966E7"/>
    <w:rsid w:val="00696FDD"/>
    <w:rsid w:val="006A145D"/>
    <w:rsid w:val="006A2A12"/>
    <w:rsid w:val="006A2AB7"/>
    <w:rsid w:val="006A4377"/>
    <w:rsid w:val="006A45A4"/>
    <w:rsid w:val="006A4F71"/>
    <w:rsid w:val="006A5540"/>
    <w:rsid w:val="006A55A1"/>
    <w:rsid w:val="006A75E3"/>
    <w:rsid w:val="006A778A"/>
    <w:rsid w:val="006A7926"/>
    <w:rsid w:val="006B03E3"/>
    <w:rsid w:val="006B10B7"/>
    <w:rsid w:val="006B1490"/>
    <w:rsid w:val="006B14D6"/>
    <w:rsid w:val="006B1954"/>
    <w:rsid w:val="006B3B77"/>
    <w:rsid w:val="006B3C22"/>
    <w:rsid w:val="006B3DF8"/>
    <w:rsid w:val="006B5538"/>
    <w:rsid w:val="006B5BBF"/>
    <w:rsid w:val="006B66C7"/>
    <w:rsid w:val="006B66F2"/>
    <w:rsid w:val="006B68A1"/>
    <w:rsid w:val="006B6A25"/>
    <w:rsid w:val="006C134C"/>
    <w:rsid w:val="006C2AF5"/>
    <w:rsid w:val="006C4A70"/>
    <w:rsid w:val="006C4FA0"/>
    <w:rsid w:val="006C559B"/>
    <w:rsid w:val="006C5611"/>
    <w:rsid w:val="006C6B99"/>
    <w:rsid w:val="006C6DE4"/>
    <w:rsid w:val="006C73A9"/>
    <w:rsid w:val="006C758E"/>
    <w:rsid w:val="006C761D"/>
    <w:rsid w:val="006C7825"/>
    <w:rsid w:val="006D05BE"/>
    <w:rsid w:val="006D16EF"/>
    <w:rsid w:val="006D1C29"/>
    <w:rsid w:val="006D200D"/>
    <w:rsid w:val="006D2548"/>
    <w:rsid w:val="006D27E1"/>
    <w:rsid w:val="006D3930"/>
    <w:rsid w:val="006D405B"/>
    <w:rsid w:val="006D4918"/>
    <w:rsid w:val="006D4F1B"/>
    <w:rsid w:val="006D55B6"/>
    <w:rsid w:val="006D6CB3"/>
    <w:rsid w:val="006E1717"/>
    <w:rsid w:val="006E1C47"/>
    <w:rsid w:val="006E211E"/>
    <w:rsid w:val="006E3DEB"/>
    <w:rsid w:val="006E438F"/>
    <w:rsid w:val="006E4CC3"/>
    <w:rsid w:val="006E4CC4"/>
    <w:rsid w:val="006E4F82"/>
    <w:rsid w:val="006E5757"/>
    <w:rsid w:val="006E5DF1"/>
    <w:rsid w:val="006E79F3"/>
    <w:rsid w:val="006E7FD2"/>
    <w:rsid w:val="006F0327"/>
    <w:rsid w:val="006F0589"/>
    <w:rsid w:val="006F078F"/>
    <w:rsid w:val="006F13DA"/>
    <w:rsid w:val="006F15D0"/>
    <w:rsid w:val="006F18DE"/>
    <w:rsid w:val="006F1DEF"/>
    <w:rsid w:val="006F2886"/>
    <w:rsid w:val="006F3344"/>
    <w:rsid w:val="006F5CA0"/>
    <w:rsid w:val="006F6181"/>
    <w:rsid w:val="006F6D72"/>
    <w:rsid w:val="006F6FCA"/>
    <w:rsid w:val="006F70FD"/>
    <w:rsid w:val="006F7728"/>
    <w:rsid w:val="006F7E3B"/>
    <w:rsid w:val="007000C0"/>
    <w:rsid w:val="00700D21"/>
    <w:rsid w:val="00701297"/>
    <w:rsid w:val="00701C37"/>
    <w:rsid w:val="00702434"/>
    <w:rsid w:val="00702BD1"/>
    <w:rsid w:val="00702FC9"/>
    <w:rsid w:val="00703891"/>
    <w:rsid w:val="007048E1"/>
    <w:rsid w:val="00705720"/>
    <w:rsid w:val="0070671F"/>
    <w:rsid w:val="007075D8"/>
    <w:rsid w:val="0071139D"/>
    <w:rsid w:val="00711A8F"/>
    <w:rsid w:val="00711AE8"/>
    <w:rsid w:val="007127D1"/>
    <w:rsid w:val="00712E5C"/>
    <w:rsid w:val="007136B2"/>
    <w:rsid w:val="00714B85"/>
    <w:rsid w:val="007150CE"/>
    <w:rsid w:val="00715FAD"/>
    <w:rsid w:val="007162B9"/>
    <w:rsid w:val="007164B7"/>
    <w:rsid w:val="00716545"/>
    <w:rsid w:val="00717101"/>
    <w:rsid w:val="00717665"/>
    <w:rsid w:val="007176EE"/>
    <w:rsid w:val="0071773F"/>
    <w:rsid w:val="007178A8"/>
    <w:rsid w:val="00720416"/>
    <w:rsid w:val="0072080E"/>
    <w:rsid w:val="007208AB"/>
    <w:rsid w:val="0072182E"/>
    <w:rsid w:val="00721AE8"/>
    <w:rsid w:val="007225C3"/>
    <w:rsid w:val="00722E44"/>
    <w:rsid w:val="00723323"/>
    <w:rsid w:val="00724362"/>
    <w:rsid w:val="00724EE3"/>
    <w:rsid w:val="00725B23"/>
    <w:rsid w:val="00725DA3"/>
    <w:rsid w:val="00725E9C"/>
    <w:rsid w:val="0072649C"/>
    <w:rsid w:val="0072650C"/>
    <w:rsid w:val="007268DC"/>
    <w:rsid w:val="0072762C"/>
    <w:rsid w:val="0072777C"/>
    <w:rsid w:val="0072794C"/>
    <w:rsid w:val="00727959"/>
    <w:rsid w:val="00727BCF"/>
    <w:rsid w:val="00727F7F"/>
    <w:rsid w:val="007319EA"/>
    <w:rsid w:val="00731F70"/>
    <w:rsid w:val="00731FE3"/>
    <w:rsid w:val="0073339C"/>
    <w:rsid w:val="00733CEA"/>
    <w:rsid w:val="00734069"/>
    <w:rsid w:val="00734209"/>
    <w:rsid w:val="007342C7"/>
    <w:rsid w:val="00735D67"/>
    <w:rsid w:val="00736F49"/>
    <w:rsid w:val="00737134"/>
    <w:rsid w:val="00737242"/>
    <w:rsid w:val="007373D0"/>
    <w:rsid w:val="007374BC"/>
    <w:rsid w:val="00737A75"/>
    <w:rsid w:val="00737E68"/>
    <w:rsid w:val="00741271"/>
    <w:rsid w:val="0074185F"/>
    <w:rsid w:val="0074216C"/>
    <w:rsid w:val="007423FE"/>
    <w:rsid w:val="00742DD2"/>
    <w:rsid w:val="0074332F"/>
    <w:rsid w:val="00743594"/>
    <w:rsid w:val="00744592"/>
    <w:rsid w:val="00744CC9"/>
    <w:rsid w:val="00744E53"/>
    <w:rsid w:val="00744E90"/>
    <w:rsid w:val="00744EB3"/>
    <w:rsid w:val="007466E2"/>
    <w:rsid w:val="007469B6"/>
    <w:rsid w:val="00747776"/>
    <w:rsid w:val="007509C2"/>
    <w:rsid w:val="0075220D"/>
    <w:rsid w:val="007522A6"/>
    <w:rsid w:val="00753D77"/>
    <w:rsid w:val="007550D5"/>
    <w:rsid w:val="00755966"/>
    <w:rsid w:val="007559C5"/>
    <w:rsid w:val="00755C96"/>
    <w:rsid w:val="007564E1"/>
    <w:rsid w:val="007569FB"/>
    <w:rsid w:val="00756D83"/>
    <w:rsid w:val="00757FE9"/>
    <w:rsid w:val="00760CD4"/>
    <w:rsid w:val="007611A9"/>
    <w:rsid w:val="0076143A"/>
    <w:rsid w:val="00761776"/>
    <w:rsid w:val="00762BB8"/>
    <w:rsid w:val="00762FE9"/>
    <w:rsid w:val="00764A54"/>
    <w:rsid w:val="00764D34"/>
    <w:rsid w:val="00764F02"/>
    <w:rsid w:val="00765A6D"/>
    <w:rsid w:val="007676EC"/>
    <w:rsid w:val="00767A50"/>
    <w:rsid w:val="00767CDC"/>
    <w:rsid w:val="007704D8"/>
    <w:rsid w:val="007708D3"/>
    <w:rsid w:val="00770EB8"/>
    <w:rsid w:val="00771315"/>
    <w:rsid w:val="007715A4"/>
    <w:rsid w:val="0077184B"/>
    <w:rsid w:val="00771A8C"/>
    <w:rsid w:val="0077251F"/>
    <w:rsid w:val="0077344C"/>
    <w:rsid w:val="00773548"/>
    <w:rsid w:val="00773551"/>
    <w:rsid w:val="00773C93"/>
    <w:rsid w:val="00773E51"/>
    <w:rsid w:val="0077436F"/>
    <w:rsid w:val="00774D67"/>
    <w:rsid w:val="007750B3"/>
    <w:rsid w:val="00775362"/>
    <w:rsid w:val="0077537E"/>
    <w:rsid w:val="007759DB"/>
    <w:rsid w:val="00775A57"/>
    <w:rsid w:val="00775C54"/>
    <w:rsid w:val="0077681C"/>
    <w:rsid w:val="00776ED8"/>
    <w:rsid w:val="00777034"/>
    <w:rsid w:val="00777D62"/>
    <w:rsid w:val="007806A3"/>
    <w:rsid w:val="00780D6F"/>
    <w:rsid w:val="007819A2"/>
    <w:rsid w:val="00781B8D"/>
    <w:rsid w:val="00781E7B"/>
    <w:rsid w:val="00781FDF"/>
    <w:rsid w:val="007821B5"/>
    <w:rsid w:val="00782320"/>
    <w:rsid w:val="00782915"/>
    <w:rsid w:val="00783A4B"/>
    <w:rsid w:val="00783E8C"/>
    <w:rsid w:val="00783FD0"/>
    <w:rsid w:val="0078406E"/>
    <w:rsid w:val="00784138"/>
    <w:rsid w:val="007866CD"/>
    <w:rsid w:val="00787BC9"/>
    <w:rsid w:val="00787BD5"/>
    <w:rsid w:val="007907FD"/>
    <w:rsid w:val="00790C60"/>
    <w:rsid w:val="00792B49"/>
    <w:rsid w:val="007936F9"/>
    <w:rsid w:val="00794163"/>
    <w:rsid w:val="007951A0"/>
    <w:rsid w:val="0079536B"/>
    <w:rsid w:val="00796433"/>
    <w:rsid w:val="007966AB"/>
    <w:rsid w:val="00796764"/>
    <w:rsid w:val="00796C15"/>
    <w:rsid w:val="00796DEC"/>
    <w:rsid w:val="007975C2"/>
    <w:rsid w:val="00797FC7"/>
    <w:rsid w:val="007A0005"/>
    <w:rsid w:val="007A0B15"/>
    <w:rsid w:val="007A1637"/>
    <w:rsid w:val="007A1A14"/>
    <w:rsid w:val="007A1F00"/>
    <w:rsid w:val="007A2161"/>
    <w:rsid w:val="007A252F"/>
    <w:rsid w:val="007A2851"/>
    <w:rsid w:val="007A2EC8"/>
    <w:rsid w:val="007A41FF"/>
    <w:rsid w:val="007A5260"/>
    <w:rsid w:val="007A53A3"/>
    <w:rsid w:val="007A5AF9"/>
    <w:rsid w:val="007A5E61"/>
    <w:rsid w:val="007A6AC3"/>
    <w:rsid w:val="007A7019"/>
    <w:rsid w:val="007A73C4"/>
    <w:rsid w:val="007A765A"/>
    <w:rsid w:val="007A791C"/>
    <w:rsid w:val="007A79D6"/>
    <w:rsid w:val="007A7EB9"/>
    <w:rsid w:val="007B1549"/>
    <w:rsid w:val="007B1C11"/>
    <w:rsid w:val="007B24C2"/>
    <w:rsid w:val="007B2F65"/>
    <w:rsid w:val="007B2FCD"/>
    <w:rsid w:val="007B5810"/>
    <w:rsid w:val="007B5977"/>
    <w:rsid w:val="007B68FD"/>
    <w:rsid w:val="007B6BA6"/>
    <w:rsid w:val="007B6F00"/>
    <w:rsid w:val="007B7929"/>
    <w:rsid w:val="007C0801"/>
    <w:rsid w:val="007C1CB6"/>
    <w:rsid w:val="007C21BC"/>
    <w:rsid w:val="007C2611"/>
    <w:rsid w:val="007C2660"/>
    <w:rsid w:val="007C27D1"/>
    <w:rsid w:val="007C2CA3"/>
    <w:rsid w:val="007C377C"/>
    <w:rsid w:val="007C3FDF"/>
    <w:rsid w:val="007C521A"/>
    <w:rsid w:val="007C52D7"/>
    <w:rsid w:val="007C607D"/>
    <w:rsid w:val="007D0437"/>
    <w:rsid w:val="007D12C1"/>
    <w:rsid w:val="007D13C2"/>
    <w:rsid w:val="007D1546"/>
    <w:rsid w:val="007D17E3"/>
    <w:rsid w:val="007D1AEA"/>
    <w:rsid w:val="007D200D"/>
    <w:rsid w:val="007D4F07"/>
    <w:rsid w:val="007D632A"/>
    <w:rsid w:val="007D6B45"/>
    <w:rsid w:val="007D7239"/>
    <w:rsid w:val="007D7B7C"/>
    <w:rsid w:val="007E1330"/>
    <w:rsid w:val="007E145E"/>
    <w:rsid w:val="007E1575"/>
    <w:rsid w:val="007E1C32"/>
    <w:rsid w:val="007E2772"/>
    <w:rsid w:val="007E2F85"/>
    <w:rsid w:val="007E3B8E"/>
    <w:rsid w:val="007E4A3E"/>
    <w:rsid w:val="007E4AC7"/>
    <w:rsid w:val="007E5473"/>
    <w:rsid w:val="007E567C"/>
    <w:rsid w:val="007E5D2E"/>
    <w:rsid w:val="007E5F4C"/>
    <w:rsid w:val="007E6015"/>
    <w:rsid w:val="007E6840"/>
    <w:rsid w:val="007E7C66"/>
    <w:rsid w:val="007F0D41"/>
    <w:rsid w:val="007F4045"/>
    <w:rsid w:val="007F423F"/>
    <w:rsid w:val="007F4A82"/>
    <w:rsid w:val="007F4B5B"/>
    <w:rsid w:val="007F59CE"/>
    <w:rsid w:val="007F60E5"/>
    <w:rsid w:val="007F68AC"/>
    <w:rsid w:val="007F6D8B"/>
    <w:rsid w:val="007F6E18"/>
    <w:rsid w:val="007F6FB8"/>
    <w:rsid w:val="007F7A4A"/>
    <w:rsid w:val="00800796"/>
    <w:rsid w:val="008008E6"/>
    <w:rsid w:val="008020EF"/>
    <w:rsid w:val="0080235B"/>
    <w:rsid w:val="00802424"/>
    <w:rsid w:val="0080383C"/>
    <w:rsid w:val="00803AA8"/>
    <w:rsid w:val="00803B3A"/>
    <w:rsid w:val="00804677"/>
    <w:rsid w:val="008048BA"/>
    <w:rsid w:val="008061AC"/>
    <w:rsid w:val="00806F59"/>
    <w:rsid w:val="00807050"/>
    <w:rsid w:val="00807451"/>
    <w:rsid w:val="00811229"/>
    <w:rsid w:val="00811F21"/>
    <w:rsid w:val="00811F53"/>
    <w:rsid w:val="00812A3D"/>
    <w:rsid w:val="00812C34"/>
    <w:rsid w:val="00814655"/>
    <w:rsid w:val="00814D10"/>
    <w:rsid w:val="0081580C"/>
    <w:rsid w:val="00815B79"/>
    <w:rsid w:val="00815E46"/>
    <w:rsid w:val="00816391"/>
    <w:rsid w:val="00817103"/>
    <w:rsid w:val="0081746C"/>
    <w:rsid w:val="00817F4C"/>
    <w:rsid w:val="00821173"/>
    <w:rsid w:val="00821BA4"/>
    <w:rsid w:val="008237DF"/>
    <w:rsid w:val="00823D5A"/>
    <w:rsid w:val="0082427C"/>
    <w:rsid w:val="00824D9B"/>
    <w:rsid w:val="00824F12"/>
    <w:rsid w:val="008258BA"/>
    <w:rsid w:val="0082617B"/>
    <w:rsid w:val="00826333"/>
    <w:rsid w:val="008278B8"/>
    <w:rsid w:val="00830061"/>
    <w:rsid w:val="008306AD"/>
    <w:rsid w:val="0083092C"/>
    <w:rsid w:val="00830958"/>
    <w:rsid w:val="00830DC9"/>
    <w:rsid w:val="00831145"/>
    <w:rsid w:val="008314CD"/>
    <w:rsid w:val="00831EA7"/>
    <w:rsid w:val="00832A15"/>
    <w:rsid w:val="00832A87"/>
    <w:rsid w:val="00832BB1"/>
    <w:rsid w:val="00833328"/>
    <w:rsid w:val="008334F0"/>
    <w:rsid w:val="008334FA"/>
    <w:rsid w:val="0083356A"/>
    <w:rsid w:val="00833821"/>
    <w:rsid w:val="00833B35"/>
    <w:rsid w:val="00833FC3"/>
    <w:rsid w:val="0083400C"/>
    <w:rsid w:val="008370B2"/>
    <w:rsid w:val="008372D0"/>
    <w:rsid w:val="008414FC"/>
    <w:rsid w:val="00841755"/>
    <w:rsid w:val="00841DD6"/>
    <w:rsid w:val="00843BAD"/>
    <w:rsid w:val="00843E53"/>
    <w:rsid w:val="00843EBD"/>
    <w:rsid w:val="00843F12"/>
    <w:rsid w:val="00845692"/>
    <w:rsid w:val="008459EA"/>
    <w:rsid w:val="00845F55"/>
    <w:rsid w:val="0084636B"/>
    <w:rsid w:val="00846829"/>
    <w:rsid w:val="00851F9F"/>
    <w:rsid w:val="00851FB0"/>
    <w:rsid w:val="00852CDB"/>
    <w:rsid w:val="008541E7"/>
    <w:rsid w:val="00854901"/>
    <w:rsid w:val="00854B16"/>
    <w:rsid w:val="00854C1F"/>
    <w:rsid w:val="00854DBF"/>
    <w:rsid w:val="008553FA"/>
    <w:rsid w:val="008554F4"/>
    <w:rsid w:val="0085697D"/>
    <w:rsid w:val="00856C9F"/>
    <w:rsid w:val="00857ADC"/>
    <w:rsid w:val="00857D02"/>
    <w:rsid w:val="00860A5F"/>
    <w:rsid w:val="00860D32"/>
    <w:rsid w:val="00861805"/>
    <w:rsid w:val="00861A35"/>
    <w:rsid w:val="00861B9B"/>
    <w:rsid w:val="00862D15"/>
    <w:rsid w:val="008630BA"/>
    <w:rsid w:val="008635AC"/>
    <w:rsid w:val="008637D9"/>
    <w:rsid w:val="00863A68"/>
    <w:rsid w:val="00863CB7"/>
    <w:rsid w:val="0086411C"/>
    <w:rsid w:val="008644DF"/>
    <w:rsid w:val="00864CF3"/>
    <w:rsid w:val="00864E73"/>
    <w:rsid w:val="00865417"/>
    <w:rsid w:val="008677C2"/>
    <w:rsid w:val="00867889"/>
    <w:rsid w:val="00867B34"/>
    <w:rsid w:val="00867C69"/>
    <w:rsid w:val="0087319E"/>
    <w:rsid w:val="008731A2"/>
    <w:rsid w:val="00873516"/>
    <w:rsid w:val="00873D5A"/>
    <w:rsid w:val="00875092"/>
    <w:rsid w:val="0087622F"/>
    <w:rsid w:val="0087630D"/>
    <w:rsid w:val="00876EEE"/>
    <w:rsid w:val="00880B80"/>
    <w:rsid w:val="00880D08"/>
    <w:rsid w:val="00880D73"/>
    <w:rsid w:val="008811F4"/>
    <w:rsid w:val="008817E5"/>
    <w:rsid w:val="0088194D"/>
    <w:rsid w:val="00881FF2"/>
    <w:rsid w:val="00882863"/>
    <w:rsid w:val="00883329"/>
    <w:rsid w:val="00884362"/>
    <w:rsid w:val="00884CC1"/>
    <w:rsid w:val="008866E3"/>
    <w:rsid w:val="00886BE7"/>
    <w:rsid w:val="00886F21"/>
    <w:rsid w:val="00887EA4"/>
    <w:rsid w:val="008928C0"/>
    <w:rsid w:val="00893438"/>
    <w:rsid w:val="00894108"/>
    <w:rsid w:val="008946FE"/>
    <w:rsid w:val="008952C7"/>
    <w:rsid w:val="00895680"/>
    <w:rsid w:val="008959EF"/>
    <w:rsid w:val="00895C6F"/>
    <w:rsid w:val="008969F4"/>
    <w:rsid w:val="00896C56"/>
    <w:rsid w:val="00897404"/>
    <w:rsid w:val="00897677"/>
    <w:rsid w:val="00897A9C"/>
    <w:rsid w:val="008A0CB8"/>
    <w:rsid w:val="008A0E04"/>
    <w:rsid w:val="008A1FE1"/>
    <w:rsid w:val="008A295F"/>
    <w:rsid w:val="008A2B66"/>
    <w:rsid w:val="008A303F"/>
    <w:rsid w:val="008A3AFD"/>
    <w:rsid w:val="008A40CA"/>
    <w:rsid w:val="008A46F4"/>
    <w:rsid w:val="008A4AD8"/>
    <w:rsid w:val="008A4B91"/>
    <w:rsid w:val="008A5636"/>
    <w:rsid w:val="008A5F62"/>
    <w:rsid w:val="008A61C1"/>
    <w:rsid w:val="008A6E09"/>
    <w:rsid w:val="008A749E"/>
    <w:rsid w:val="008A74DE"/>
    <w:rsid w:val="008A773A"/>
    <w:rsid w:val="008A79FA"/>
    <w:rsid w:val="008B04C4"/>
    <w:rsid w:val="008B054A"/>
    <w:rsid w:val="008B05FD"/>
    <w:rsid w:val="008B1116"/>
    <w:rsid w:val="008B1294"/>
    <w:rsid w:val="008B1940"/>
    <w:rsid w:val="008B1B5F"/>
    <w:rsid w:val="008B24B5"/>
    <w:rsid w:val="008B2C97"/>
    <w:rsid w:val="008B2E45"/>
    <w:rsid w:val="008B3CA3"/>
    <w:rsid w:val="008B4EA1"/>
    <w:rsid w:val="008B4F62"/>
    <w:rsid w:val="008B5092"/>
    <w:rsid w:val="008B511F"/>
    <w:rsid w:val="008B52F3"/>
    <w:rsid w:val="008B5B6D"/>
    <w:rsid w:val="008B6B2C"/>
    <w:rsid w:val="008B7380"/>
    <w:rsid w:val="008B74FC"/>
    <w:rsid w:val="008B7523"/>
    <w:rsid w:val="008C09E9"/>
    <w:rsid w:val="008C0E72"/>
    <w:rsid w:val="008C182D"/>
    <w:rsid w:val="008C1A35"/>
    <w:rsid w:val="008C280A"/>
    <w:rsid w:val="008C2A79"/>
    <w:rsid w:val="008C3696"/>
    <w:rsid w:val="008C3842"/>
    <w:rsid w:val="008C3D09"/>
    <w:rsid w:val="008C40D1"/>
    <w:rsid w:val="008C4B6F"/>
    <w:rsid w:val="008C5FF0"/>
    <w:rsid w:val="008C7D10"/>
    <w:rsid w:val="008C7D1E"/>
    <w:rsid w:val="008C7DD6"/>
    <w:rsid w:val="008D01D3"/>
    <w:rsid w:val="008D0B3B"/>
    <w:rsid w:val="008D0E6D"/>
    <w:rsid w:val="008D128F"/>
    <w:rsid w:val="008D195B"/>
    <w:rsid w:val="008D1A36"/>
    <w:rsid w:val="008D1A72"/>
    <w:rsid w:val="008D2F52"/>
    <w:rsid w:val="008D3914"/>
    <w:rsid w:val="008D6432"/>
    <w:rsid w:val="008D7AAC"/>
    <w:rsid w:val="008E04A9"/>
    <w:rsid w:val="008E0C87"/>
    <w:rsid w:val="008E2C06"/>
    <w:rsid w:val="008E2C22"/>
    <w:rsid w:val="008E2E7F"/>
    <w:rsid w:val="008E3E32"/>
    <w:rsid w:val="008E406C"/>
    <w:rsid w:val="008E439E"/>
    <w:rsid w:val="008E480D"/>
    <w:rsid w:val="008E54D7"/>
    <w:rsid w:val="008E7161"/>
    <w:rsid w:val="008E72D9"/>
    <w:rsid w:val="008E7501"/>
    <w:rsid w:val="008F05BC"/>
    <w:rsid w:val="008F0A99"/>
    <w:rsid w:val="008F2C08"/>
    <w:rsid w:val="008F2ED4"/>
    <w:rsid w:val="008F304D"/>
    <w:rsid w:val="008F3940"/>
    <w:rsid w:val="008F3DFB"/>
    <w:rsid w:val="008F52A6"/>
    <w:rsid w:val="008F5E06"/>
    <w:rsid w:val="008F66C9"/>
    <w:rsid w:val="008F6F2C"/>
    <w:rsid w:val="00900589"/>
    <w:rsid w:val="009013FD"/>
    <w:rsid w:val="0090268E"/>
    <w:rsid w:val="009028AE"/>
    <w:rsid w:val="00902963"/>
    <w:rsid w:val="00902ECC"/>
    <w:rsid w:val="00903B4E"/>
    <w:rsid w:val="0090426E"/>
    <w:rsid w:val="00904353"/>
    <w:rsid w:val="00904BA6"/>
    <w:rsid w:val="00904C56"/>
    <w:rsid w:val="00904ED6"/>
    <w:rsid w:val="00905A90"/>
    <w:rsid w:val="00905AB9"/>
    <w:rsid w:val="00905BBE"/>
    <w:rsid w:val="00906210"/>
    <w:rsid w:val="009069DC"/>
    <w:rsid w:val="00906A9A"/>
    <w:rsid w:val="00906ECE"/>
    <w:rsid w:val="00907487"/>
    <w:rsid w:val="009077E2"/>
    <w:rsid w:val="00911191"/>
    <w:rsid w:val="0091202E"/>
    <w:rsid w:val="00912646"/>
    <w:rsid w:val="009129C0"/>
    <w:rsid w:val="00912B25"/>
    <w:rsid w:val="00912E83"/>
    <w:rsid w:val="00912EFD"/>
    <w:rsid w:val="00912FAB"/>
    <w:rsid w:val="009136DD"/>
    <w:rsid w:val="009137AC"/>
    <w:rsid w:val="00913C5F"/>
    <w:rsid w:val="009149B7"/>
    <w:rsid w:val="00915087"/>
    <w:rsid w:val="00915364"/>
    <w:rsid w:val="0091557D"/>
    <w:rsid w:val="00915B82"/>
    <w:rsid w:val="009160A7"/>
    <w:rsid w:val="0091636E"/>
    <w:rsid w:val="00917214"/>
    <w:rsid w:val="00917C56"/>
    <w:rsid w:val="009219FC"/>
    <w:rsid w:val="00921BD1"/>
    <w:rsid w:val="009224E3"/>
    <w:rsid w:val="0092260A"/>
    <w:rsid w:val="00922794"/>
    <w:rsid w:val="009233DE"/>
    <w:rsid w:val="00923437"/>
    <w:rsid w:val="0092497C"/>
    <w:rsid w:val="00925A07"/>
    <w:rsid w:val="0092603E"/>
    <w:rsid w:val="0092633F"/>
    <w:rsid w:val="009266EE"/>
    <w:rsid w:val="009267EE"/>
    <w:rsid w:val="00926A4E"/>
    <w:rsid w:val="00926D60"/>
    <w:rsid w:val="00930B68"/>
    <w:rsid w:val="009315C3"/>
    <w:rsid w:val="00931E4A"/>
    <w:rsid w:val="009329E9"/>
    <w:rsid w:val="00932D3C"/>
    <w:rsid w:val="009334CE"/>
    <w:rsid w:val="00933901"/>
    <w:rsid w:val="00933D70"/>
    <w:rsid w:val="00933DFA"/>
    <w:rsid w:val="0093468E"/>
    <w:rsid w:val="00934EE1"/>
    <w:rsid w:val="00934FCA"/>
    <w:rsid w:val="00936F4B"/>
    <w:rsid w:val="009376DE"/>
    <w:rsid w:val="00937C3A"/>
    <w:rsid w:val="009404E3"/>
    <w:rsid w:val="0094056A"/>
    <w:rsid w:val="00940696"/>
    <w:rsid w:val="00942067"/>
    <w:rsid w:val="009432A0"/>
    <w:rsid w:val="009436E8"/>
    <w:rsid w:val="009440FC"/>
    <w:rsid w:val="00944CAD"/>
    <w:rsid w:val="009457E2"/>
    <w:rsid w:val="00945906"/>
    <w:rsid w:val="00945A18"/>
    <w:rsid w:val="00945D0A"/>
    <w:rsid w:val="0094662E"/>
    <w:rsid w:val="009477F0"/>
    <w:rsid w:val="00947F6F"/>
    <w:rsid w:val="0095030A"/>
    <w:rsid w:val="00950B89"/>
    <w:rsid w:val="00950D1A"/>
    <w:rsid w:val="00952EE9"/>
    <w:rsid w:val="00953898"/>
    <w:rsid w:val="00953B7C"/>
    <w:rsid w:val="00953FB1"/>
    <w:rsid w:val="0095473E"/>
    <w:rsid w:val="00954848"/>
    <w:rsid w:val="009559DE"/>
    <w:rsid w:val="0095650A"/>
    <w:rsid w:val="0095652A"/>
    <w:rsid w:val="00957717"/>
    <w:rsid w:val="00957FF4"/>
    <w:rsid w:val="00961483"/>
    <w:rsid w:val="009614AE"/>
    <w:rsid w:val="009618C9"/>
    <w:rsid w:val="00962D6A"/>
    <w:rsid w:val="0096356B"/>
    <w:rsid w:val="00964C3B"/>
    <w:rsid w:val="00964E67"/>
    <w:rsid w:val="00964F7B"/>
    <w:rsid w:val="00965383"/>
    <w:rsid w:val="009660A3"/>
    <w:rsid w:val="00967815"/>
    <w:rsid w:val="00967A47"/>
    <w:rsid w:val="00971763"/>
    <w:rsid w:val="0097285F"/>
    <w:rsid w:val="009732EA"/>
    <w:rsid w:val="00973308"/>
    <w:rsid w:val="00973607"/>
    <w:rsid w:val="00973C21"/>
    <w:rsid w:val="00973F55"/>
    <w:rsid w:val="00974188"/>
    <w:rsid w:val="00974FCB"/>
    <w:rsid w:val="0097586B"/>
    <w:rsid w:val="00975A20"/>
    <w:rsid w:val="00975BCF"/>
    <w:rsid w:val="009764B6"/>
    <w:rsid w:val="009766BC"/>
    <w:rsid w:val="00977E5B"/>
    <w:rsid w:val="00980090"/>
    <w:rsid w:val="00980168"/>
    <w:rsid w:val="00982465"/>
    <w:rsid w:val="00982784"/>
    <w:rsid w:val="00983958"/>
    <w:rsid w:val="009840D0"/>
    <w:rsid w:val="00985670"/>
    <w:rsid w:val="009869D9"/>
    <w:rsid w:val="00986C22"/>
    <w:rsid w:val="009876C0"/>
    <w:rsid w:val="00987840"/>
    <w:rsid w:val="009900DC"/>
    <w:rsid w:val="0099093E"/>
    <w:rsid w:val="00991CB2"/>
    <w:rsid w:val="00991CFF"/>
    <w:rsid w:val="009924D5"/>
    <w:rsid w:val="009926E7"/>
    <w:rsid w:val="009929FD"/>
    <w:rsid w:val="00993BF5"/>
    <w:rsid w:val="0099534D"/>
    <w:rsid w:val="00995899"/>
    <w:rsid w:val="00995A85"/>
    <w:rsid w:val="00995AB8"/>
    <w:rsid w:val="00997785"/>
    <w:rsid w:val="00997FC2"/>
    <w:rsid w:val="009A04C9"/>
    <w:rsid w:val="009A0A87"/>
    <w:rsid w:val="009A0E6D"/>
    <w:rsid w:val="009A1E36"/>
    <w:rsid w:val="009A2393"/>
    <w:rsid w:val="009A2453"/>
    <w:rsid w:val="009A3182"/>
    <w:rsid w:val="009A32F1"/>
    <w:rsid w:val="009A41F4"/>
    <w:rsid w:val="009A4FF9"/>
    <w:rsid w:val="009A5DAD"/>
    <w:rsid w:val="009A633E"/>
    <w:rsid w:val="009B0685"/>
    <w:rsid w:val="009B0AAF"/>
    <w:rsid w:val="009B0CE9"/>
    <w:rsid w:val="009B12AF"/>
    <w:rsid w:val="009B1F55"/>
    <w:rsid w:val="009B2125"/>
    <w:rsid w:val="009B309B"/>
    <w:rsid w:val="009B320E"/>
    <w:rsid w:val="009B3396"/>
    <w:rsid w:val="009B368D"/>
    <w:rsid w:val="009B3B4D"/>
    <w:rsid w:val="009B40FB"/>
    <w:rsid w:val="009B442F"/>
    <w:rsid w:val="009B5559"/>
    <w:rsid w:val="009B5ACF"/>
    <w:rsid w:val="009B6D3F"/>
    <w:rsid w:val="009B7580"/>
    <w:rsid w:val="009B7CE6"/>
    <w:rsid w:val="009C0056"/>
    <w:rsid w:val="009C0B82"/>
    <w:rsid w:val="009C160C"/>
    <w:rsid w:val="009C1937"/>
    <w:rsid w:val="009C1EE5"/>
    <w:rsid w:val="009C308B"/>
    <w:rsid w:val="009C32C6"/>
    <w:rsid w:val="009C42CF"/>
    <w:rsid w:val="009C4D9F"/>
    <w:rsid w:val="009C4E33"/>
    <w:rsid w:val="009C56E4"/>
    <w:rsid w:val="009C5856"/>
    <w:rsid w:val="009C6823"/>
    <w:rsid w:val="009D0E32"/>
    <w:rsid w:val="009D0F82"/>
    <w:rsid w:val="009D1265"/>
    <w:rsid w:val="009D3322"/>
    <w:rsid w:val="009D334C"/>
    <w:rsid w:val="009D42AC"/>
    <w:rsid w:val="009D4D1D"/>
    <w:rsid w:val="009D4E8D"/>
    <w:rsid w:val="009D4F6C"/>
    <w:rsid w:val="009D529F"/>
    <w:rsid w:val="009D6333"/>
    <w:rsid w:val="009D65E7"/>
    <w:rsid w:val="009D6E00"/>
    <w:rsid w:val="009D6F81"/>
    <w:rsid w:val="009E02B9"/>
    <w:rsid w:val="009E0817"/>
    <w:rsid w:val="009E0CCC"/>
    <w:rsid w:val="009E0CCF"/>
    <w:rsid w:val="009E1295"/>
    <w:rsid w:val="009E1908"/>
    <w:rsid w:val="009E1CC1"/>
    <w:rsid w:val="009E2AA6"/>
    <w:rsid w:val="009E3651"/>
    <w:rsid w:val="009E3DED"/>
    <w:rsid w:val="009E48EE"/>
    <w:rsid w:val="009E4C0D"/>
    <w:rsid w:val="009E4C6A"/>
    <w:rsid w:val="009E5704"/>
    <w:rsid w:val="009E5714"/>
    <w:rsid w:val="009E5724"/>
    <w:rsid w:val="009E5CB8"/>
    <w:rsid w:val="009E5D7B"/>
    <w:rsid w:val="009E613E"/>
    <w:rsid w:val="009E66F6"/>
    <w:rsid w:val="009E7748"/>
    <w:rsid w:val="009E78F8"/>
    <w:rsid w:val="009E7D5E"/>
    <w:rsid w:val="009F0674"/>
    <w:rsid w:val="009F0AD3"/>
    <w:rsid w:val="009F0FA9"/>
    <w:rsid w:val="009F18BA"/>
    <w:rsid w:val="009F1ABA"/>
    <w:rsid w:val="009F1CBB"/>
    <w:rsid w:val="009F21D2"/>
    <w:rsid w:val="009F22BA"/>
    <w:rsid w:val="009F2472"/>
    <w:rsid w:val="009F2498"/>
    <w:rsid w:val="009F2DD1"/>
    <w:rsid w:val="009F38D3"/>
    <w:rsid w:val="009F390B"/>
    <w:rsid w:val="009F3A73"/>
    <w:rsid w:val="009F4082"/>
    <w:rsid w:val="009F4CE1"/>
    <w:rsid w:val="009F530B"/>
    <w:rsid w:val="009F5E92"/>
    <w:rsid w:val="009F5EB5"/>
    <w:rsid w:val="009F7D1E"/>
    <w:rsid w:val="00A00B55"/>
    <w:rsid w:val="00A01045"/>
    <w:rsid w:val="00A015B5"/>
    <w:rsid w:val="00A024F5"/>
    <w:rsid w:val="00A02862"/>
    <w:rsid w:val="00A02BDE"/>
    <w:rsid w:val="00A02F3D"/>
    <w:rsid w:val="00A03DC8"/>
    <w:rsid w:val="00A05BD0"/>
    <w:rsid w:val="00A063EF"/>
    <w:rsid w:val="00A06442"/>
    <w:rsid w:val="00A06784"/>
    <w:rsid w:val="00A0723E"/>
    <w:rsid w:val="00A079C2"/>
    <w:rsid w:val="00A1076C"/>
    <w:rsid w:val="00A108EA"/>
    <w:rsid w:val="00A10D60"/>
    <w:rsid w:val="00A1156D"/>
    <w:rsid w:val="00A11B82"/>
    <w:rsid w:val="00A11BB5"/>
    <w:rsid w:val="00A11D5F"/>
    <w:rsid w:val="00A11F36"/>
    <w:rsid w:val="00A136E5"/>
    <w:rsid w:val="00A13F0F"/>
    <w:rsid w:val="00A140DB"/>
    <w:rsid w:val="00A14AB5"/>
    <w:rsid w:val="00A14CC9"/>
    <w:rsid w:val="00A15765"/>
    <w:rsid w:val="00A15974"/>
    <w:rsid w:val="00A15C15"/>
    <w:rsid w:val="00A165A8"/>
    <w:rsid w:val="00A175C5"/>
    <w:rsid w:val="00A1769F"/>
    <w:rsid w:val="00A1794F"/>
    <w:rsid w:val="00A17BA3"/>
    <w:rsid w:val="00A20030"/>
    <w:rsid w:val="00A20A50"/>
    <w:rsid w:val="00A21165"/>
    <w:rsid w:val="00A21471"/>
    <w:rsid w:val="00A22900"/>
    <w:rsid w:val="00A22AB9"/>
    <w:rsid w:val="00A23000"/>
    <w:rsid w:val="00A234B8"/>
    <w:rsid w:val="00A2452D"/>
    <w:rsid w:val="00A24C24"/>
    <w:rsid w:val="00A24E18"/>
    <w:rsid w:val="00A2568D"/>
    <w:rsid w:val="00A25F53"/>
    <w:rsid w:val="00A2614E"/>
    <w:rsid w:val="00A27A1B"/>
    <w:rsid w:val="00A27B80"/>
    <w:rsid w:val="00A309B1"/>
    <w:rsid w:val="00A312C7"/>
    <w:rsid w:val="00A313D8"/>
    <w:rsid w:val="00A316E0"/>
    <w:rsid w:val="00A3170F"/>
    <w:rsid w:val="00A31E5C"/>
    <w:rsid w:val="00A324FA"/>
    <w:rsid w:val="00A325A4"/>
    <w:rsid w:val="00A32DE3"/>
    <w:rsid w:val="00A32E8F"/>
    <w:rsid w:val="00A331F5"/>
    <w:rsid w:val="00A33CE2"/>
    <w:rsid w:val="00A35A1A"/>
    <w:rsid w:val="00A35DF9"/>
    <w:rsid w:val="00A3691C"/>
    <w:rsid w:val="00A36ACD"/>
    <w:rsid w:val="00A37A57"/>
    <w:rsid w:val="00A37CD9"/>
    <w:rsid w:val="00A37FC8"/>
    <w:rsid w:val="00A40CFF"/>
    <w:rsid w:val="00A4107E"/>
    <w:rsid w:val="00A4111F"/>
    <w:rsid w:val="00A41672"/>
    <w:rsid w:val="00A41A63"/>
    <w:rsid w:val="00A4295E"/>
    <w:rsid w:val="00A42994"/>
    <w:rsid w:val="00A434F5"/>
    <w:rsid w:val="00A438A8"/>
    <w:rsid w:val="00A4393C"/>
    <w:rsid w:val="00A439B2"/>
    <w:rsid w:val="00A44DCE"/>
    <w:rsid w:val="00A450EF"/>
    <w:rsid w:val="00A45858"/>
    <w:rsid w:val="00A45C54"/>
    <w:rsid w:val="00A46C34"/>
    <w:rsid w:val="00A477DD"/>
    <w:rsid w:val="00A512BF"/>
    <w:rsid w:val="00A51EF4"/>
    <w:rsid w:val="00A5307C"/>
    <w:rsid w:val="00A53BAA"/>
    <w:rsid w:val="00A54B32"/>
    <w:rsid w:val="00A551BE"/>
    <w:rsid w:val="00A56083"/>
    <w:rsid w:val="00A56371"/>
    <w:rsid w:val="00A56C97"/>
    <w:rsid w:val="00A571B3"/>
    <w:rsid w:val="00A5746B"/>
    <w:rsid w:val="00A575B1"/>
    <w:rsid w:val="00A57C7C"/>
    <w:rsid w:val="00A60031"/>
    <w:rsid w:val="00A6038A"/>
    <w:rsid w:val="00A60D45"/>
    <w:rsid w:val="00A61394"/>
    <w:rsid w:val="00A61838"/>
    <w:rsid w:val="00A61D1B"/>
    <w:rsid w:val="00A622F6"/>
    <w:rsid w:val="00A62662"/>
    <w:rsid w:val="00A62948"/>
    <w:rsid w:val="00A63150"/>
    <w:rsid w:val="00A63612"/>
    <w:rsid w:val="00A63D6E"/>
    <w:rsid w:val="00A64A5C"/>
    <w:rsid w:val="00A64AE3"/>
    <w:rsid w:val="00A65178"/>
    <w:rsid w:val="00A659F7"/>
    <w:rsid w:val="00A662BB"/>
    <w:rsid w:val="00A662CB"/>
    <w:rsid w:val="00A67284"/>
    <w:rsid w:val="00A67846"/>
    <w:rsid w:val="00A67D52"/>
    <w:rsid w:val="00A67E20"/>
    <w:rsid w:val="00A70457"/>
    <w:rsid w:val="00A70D38"/>
    <w:rsid w:val="00A71219"/>
    <w:rsid w:val="00A718F3"/>
    <w:rsid w:val="00A72545"/>
    <w:rsid w:val="00A72952"/>
    <w:rsid w:val="00A72EC9"/>
    <w:rsid w:val="00A74239"/>
    <w:rsid w:val="00A752B5"/>
    <w:rsid w:val="00A752E2"/>
    <w:rsid w:val="00A754B6"/>
    <w:rsid w:val="00A75C5A"/>
    <w:rsid w:val="00A765E4"/>
    <w:rsid w:val="00A766B7"/>
    <w:rsid w:val="00A7758E"/>
    <w:rsid w:val="00A777D7"/>
    <w:rsid w:val="00A822CC"/>
    <w:rsid w:val="00A82E56"/>
    <w:rsid w:val="00A8302C"/>
    <w:rsid w:val="00A83960"/>
    <w:rsid w:val="00A83B94"/>
    <w:rsid w:val="00A859A7"/>
    <w:rsid w:val="00A87849"/>
    <w:rsid w:val="00A91A33"/>
    <w:rsid w:val="00A91B4A"/>
    <w:rsid w:val="00A91DFB"/>
    <w:rsid w:val="00A9225D"/>
    <w:rsid w:val="00A9232D"/>
    <w:rsid w:val="00A93092"/>
    <w:rsid w:val="00A937BC"/>
    <w:rsid w:val="00A93D84"/>
    <w:rsid w:val="00A94951"/>
    <w:rsid w:val="00A94CBF"/>
    <w:rsid w:val="00A96723"/>
    <w:rsid w:val="00A97738"/>
    <w:rsid w:val="00AA0B97"/>
    <w:rsid w:val="00AA1550"/>
    <w:rsid w:val="00AA209B"/>
    <w:rsid w:val="00AA2272"/>
    <w:rsid w:val="00AA2442"/>
    <w:rsid w:val="00AA2AAF"/>
    <w:rsid w:val="00AA3A33"/>
    <w:rsid w:val="00AA3AD3"/>
    <w:rsid w:val="00AA3BAC"/>
    <w:rsid w:val="00AA568F"/>
    <w:rsid w:val="00AA58F5"/>
    <w:rsid w:val="00AA5949"/>
    <w:rsid w:val="00AA675E"/>
    <w:rsid w:val="00AA7B44"/>
    <w:rsid w:val="00AA7C36"/>
    <w:rsid w:val="00AB1219"/>
    <w:rsid w:val="00AB262E"/>
    <w:rsid w:val="00AB2E9C"/>
    <w:rsid w:val="00AB54F8"/>
    <w:rsid w:val="00AB6019"/>
    <w:rsid w:val="00AC0058"/>
    <w:rsid w:val="00AC15F3"/>
    <w:rsid w:val="00AC172A"/>
    <w:rsid w:val="00AC1A6C"/>
    <w:rsid w:val="00AC1FF3"/>
    <w:rsid w:val="00AC2DCD"/>
    <w:rsid w:val="00AC3CBA"/>
    <w:rsid w:val="00AC4153"/>
    <w:rsid w:val="00AC43A7"/>
    <w:rsid w:val="00AC4491"/>
    <w:rsid w:val="00AC4599"/>
    <w:rsid w:val="00AC4609"/>
    <w:rsid w:val="00AC6CFF"/>
    <w:rsid w:val="00AC6D41"/>
    <w:rsid w:val="00AC6DD5"/>
    <w:rsid w:val="00AC6E2D"/>
    <w:rsid w:val="00AC7C4D"/>
    <w:rsid w:val="00AD0E75"/>
    <w:rsid w:val="00AD0F65"/>
    <w:rsid w:val="00AD1783"/>
    <w:rsid w:val="00AD195C"/>
    <w:rsid w:val="00AD1C47"/>
    <w:rsid w:val="00AD1C58"/>
    <w:rsid w:val="00AD1CB7"/>
    <w:rsid w:val="00AD29E4"/>
    <w:rsid w:val="00AD2A87"/>
    <w:rsid w:val="00AD2DAD"/>
    <w:rsid w:val="00AD3F0E"/>
    <w:rsid w:val="00AD4269"/>
    <w:rsid w:val="00AD4A4D"/>
    <w:rsid w:val="00AD531D"/>
    <w:rsid w:val="00AD6B3E"/>
    <w:rsid w:val="00AD6C61"/>
    <w:rsid w:val="00AD7B61"/>
    <w:rsid w:val="00AE03BB"/>
    <w:rsid w:val="00AE0C39"/>
    <w:rsid w:val="00AE0FB0"/>
    <w:rsid w:val="00AE24EA"/>
    <w:rsid w:val="00AE2A44"/>
    <w:rsid w:val="00AE2C9D"/>
    <w:rsid w:val="00AE2CA0"/>
    <w:rsid w:val="00AE3232"/>
    <w:rsid w:val="00AE39DE"/>
    <w:rsid w:val="00AE3A88"/>
    <w:rsid w:val="00AE3A94"/>
    <w:rsid w:val="00AE3C66"/>
    <w:rsid w:val="00AE3FF9"/>
    <w:rsid w:val="00AE4014"/>
    <w:rsid w:val="00AE4395"/>
    <w:rsid w:val="00AE5440"/>
    <w:rsid w:val="00AE5A65"/>
    <w:rsid w:val="00AE6B8F"/>
    <w:rsid w:val="00AE6DC5"/>
    <w:rsid w:val="00AE6E8A"/>
    <w:rsid w:val="00AE6F55"/>
    <w:rsid w:val="00AE732B"/>
    <w:rsid w:val="00AE7BC2"/>
    <w:rsid w:val="00AF0798"/>
    <w:rsid w:val="00AF0A3C"/>
    <w:rsid w:val="00AF10FE"/>
    <w:rsid w:val="00AF2158"/>
    <w:rsid w:val="00AF22EF"/>
    <w:rsid w:val="00AF29A7"/>
    <w:rsid w:val="00AF2C6A"/>
    <w:rsid w:val="00AF3459"/>
    <w:rsid w:val="00AF34B8"/>
    <w:rsid w:val="00AF49A6"/>
    <w:rsid w:val="00AF5012"/>
    <w:rsid w:val="00AF58BA"/>
    <w:rsid w:val="00AF59AC"/>
    <w:rsid w:val="00AF5A99"/>
    <w:rsid w:val="00AF5B93"/>
    <w:rsid w:val="00AF6644"/>
    <w:rsid w:val="00AF6A16"/>
    <w:rsid w:val="00B00D0C"/>
    <w:rsid w:val="00B00F20"/>
    <w:rsid w:val="00B02D2A"/>
    <w:rsid w:val="00B0301B"/>
    <w:rsid w:val="00B0318D"/>
    <w:rsid w:val="00B039B4"/>
    <w:rsid w:val="00B04614"/>
    <w:rsid w:val="00B04D03"/>
    <w:rsid w:val="00B04F55"/>
    <w:rsid w:val="00B06C25"/>
    <w:rsid w:val="00B06F86"/>
    <w:rsid w:val="00B07AC8"/>
    <w:rsid w:val="00B07B03"/>
    <w:rsid w:val="00B07D2A"/>
    <w:rsid w:val="00B07E76"/>
    <w:rsid w:val="00B122F6"/>
    <w:rsid w:val="00B12572"/>
    <w:rsid w:val="00B12C5A"/>
    <w:rsid w:val="00B1339E"/>
    <w:rsid w:val="00B13C0C"/>
    <w:rsid w:val="00B13F9D"/>
    <w:rsid w:val="00B160B8"/>
    <w:rsid w:val="00B20884"/>
    <w:rsid w:val="00B20E5F"/>
    <w:rsid w:val="00B22A7E"/>
    <w:rsid w:val="00B23304"/>
    <w:rsid w:val="00B234C8"/>
    <w:rsid w:val="00B23E15"/>
    <w:rsid w:val="00B25787"/>
    <w:rsid w:val="00B26CDA"/>
    <w:rsid w:val="00B27DAB"/>
    <w:rsid w:val="00B27F48"/>
    <w:rsid w:val="00B30414"/>
    <w:rsid w:val="00B307B9"/>
    <w:rsid w:val="00B30EFE"/>
    <w:rsid w:val="00B33193"/>
    <w:rsid w:val="00B34F00"/>
    <w:rsid w:val="00B35421"/>
    <w:rsid w:val="00B360CE"/>
    <w:rsid w:val="00B374A6"/>
    <w:rsid w:val="00B37503"/>
    <w:rsid w:val="00B37C61"/>
    <w:rsid w:val="00B40082"/>
    <w:rsid w:val="00B40187"/>
    <w:rsid w:val="00B402B0"/>
    <w:rsid w:val="00B40954"/>
    <w:rsid w:val="00B40C77"/>
    <w:rsid w:val="00B410F3"/>
    <w:rsid w:val="00B42EB2"/>
    <w:rsid w:val="00B43913"/>
    <w:rsid w:val="00B4399A"/>
    <w:rsid w:val="00B4399D"/>
    <w:rsid w:val="00B450D0"/>
    <w:rsid w:val="00B45CE4"/>
    <w:rsid w:val="00B45E3A"/>
    <w:rsid w:val="00B462F0"/>
    <w:rsid w:val="00B46B64"/>
    <w:rsid w:val="00B47749"/>
    <w:rsid w:val="00B50BF1"/>
    <w:rsid w:val="00B510B2"/>
    <w:rsid w:val="00B51CB1"/>
    <w:rsid w:val="00B52D91"/>
    <w:rsid w:val="00B52ECA"/>
    <w:rsid w:val="00B53681"/>
    <w:rsid w:val="00B53F66"/>
    <w:rsid w:val="00B541A4"/>
    <w:rsid w:val="00B541A6"/>
    <w:rsid w:val="00B5424D"/>
    <w:rsid w:val="00B5466D"/>
    <w:rsid w:val="00B54EAD"/>
    <w:rsid w:val="00B562E6"/>
    <w:rsid w:val="00B6104F"/>
    <w:rsid w:val="00B62128"/>
    <w:rsid w:val="00B627DA"/>
    <w:rsid w:val="00B628EA"/>
    <w:rsid w:val="00B6381C"/>
    <w:rsid w:val="00B643AA"/>
    <w:rsid w:val="00B6546B"/>
    <w:rsid w:val="00B6565C"/>
    <w:rsid w:val="00B65783"/>
    <w:rsid w:val="00B65CA2"/>
    <w:rsid w:val="00B6632F"/>
    <w:rsid w:val="00B66A05"/>
    <w:rsid w:val="00B67191"/>
    <w:rsid w:val="00B67428"/>
    <w:rsid w:val="00B67832"/>
    <w:rsid w:val="00B67C8A"/>
    <w:rsid w:val="00B706F3"/>
    <w:rsid w:val="00B7359E"/>
    <w:rsid w:val="00B73719"/>
    <w:rsid w:val="00B7427C"/>
    <w:rsid w:val="00B7438D"/>
    <w:rsid w:val="00B7481E"/>
    <w:rsid w:val="00B7563D"/>
    <w:rsid w:val="00B7638E"/>
    <w:rsid w:val="00B76840"/>
    <w:rsid w:val="00B76DBC"/>
    <w:rsid w:val="00B778BE"/>
    <w:rsid w:val="00B77FFE"/>
    <w:rsid w:val="00B807BE"/>
    <w:rsid w:val="00B813C6"/>
    <w:rsid w:val="00B8162A"/>
    <w:rsid w:val="00B83B55"/>
    <w:rsid w:val="00B83EAD"/>
    <w:rsid w:val="00B83EF2"/>
    <w:rsid w:val="00B84417"/>
    <w:rsid w:val="00B84911"/>
    <w:rsid w:val="00B850D9"/>
    <w:rsid w:val="00B85984"/>
    <w:rsid w:val="00B85CDD"/>
    <w:rsid w:val="00B85E34"/>
    <w:rsid w:val="00B86550"/>
    <w:rsid w:val="00B865EB"/>
    <w:rsid w:val="00B869A8"/>
    <w:rsid w:val="00B86B65"/>
    <w:rsid w:val="00B872A0"/>
    <w:rsid w:val="00B909D2"/>
    <w:rsid w:val="00B90B20"/>
    <w:rsid w:val="00B9144E"/>
    <w:rsid w:val="00B91812"/>
    <w:rsid w:val="00B9182A"/>
    <w:rsid w:val="00B92918"/>
    <w:rsid w:val="00B93D19"/>
    <w:rsid w:val="00B950D3"/>
    <w:rsid w:val="00B95A84"/>
    <w:rsid w:val="00B95E61"/>
    <w:rsid w:val="00B969EC"/>
    <w:rsid w:val="00B96E42"/>
    <w:rsid w:val="00B97DF4"/>
    <w:rsid w:val="00BA0A0B"/>
    <w:rsid w:val="00BA0E45"/>
    <w:rsid w:val="00BA0F0E"/>
    <w:rsid w:val="00BA1057"/>
    <w:rsid w:val="00BA1A3F"/>
    <w:rsid w:val="00BA2A50"/>
    <w:rsid w:val="00BA30D3"/>
    <w:rsid w:val="00BA4381"/>
    <w:rsid w:val="00BA63F4"/>
    <w:rsid w:val="00BA68F6"/>
    <w:rsid w:val="00BA705D"/>
    <w:rsid w:val="00BA7842"/>
    <w:rsid w:val="00BB12FC"/>
    <w:rsid w:val="00BB43B0"/>
    <w:rsid w:val="00BB4653"/>
    <w:rsid w:val="00BB5516"/>
    <w:rsid w:val="00BB71D7"/>
    <w:rsid w:val="00BC0096"/>
    <w:rsid w:val="00BC08D3"/>
    <w:rsid w:val="00BC0914"/>
    <w:rsid w:val="00BC1F69"/>
    <w:rsid w:val="00BC2D0C"/>
    <w:rsid w:val="00BC48A8"/>
    <w:rsid w:val="00BC54A1"/>
    <w:rsid w:val="00BC5AF9"/>
    <w:rsid w:val="00BC5E44"/>
    <w:rsid w:val="00BC6C10"/>
    <w:rsid w:val="00BC75A7"/>
    <w:rsid w:val="00BD075A"/>
    <w:rsid w:val="00BD0A21"/>
    <w:rsid w:val="00BD0A76"/>
    <w:rsid w:val="00BD0EDB"/>
    <w:rsid w:val="00BD1622"/>
    <w:rsid w:val="00BD2270"/>
    <w:rsid w:val="00BD26A7"/>
    <w:rsid w:val="00BD2B11"/>
    <w:rsid w:val="00BD2C1D"/>
    <w:rsid w:val="00BD34C0"/>
    <w:rsid w:val="00BD354F"/>
    <w:rsid w:val="00BD66D9"/>
    <w:rsid w:val="00BD6B54"/>
    <w:rsid w:val="00BE060B"/>
    <w:rsid w:val="00BE0C04"/>
    <w:rsid w:val="00BE0CBF"/>
    <w:rsid w:val="00BE1545"/>
    <w:rsid w:val="00BE1848"/>
    <w:rsid w:val="00BE19B0"/>
    <w:rsid w:val="00BE36E1"/>
    <w:rsid w:val="00BE44F3"/>
    <w:rsid w:val="00BE4573"/>
    <w:rsid w:val="00BE53A5"/>
    <w:rsid w:val="00BE5B27"/>
    <w:rsid w:val="00BE616D"/>
    <w:rsid w:val="00BE62F3"/>
    <w:rsid w:val="00BE650F"/>
    <w:rsid w:val="00BE702F"/>
    <w:rsid w:val="00BE79A6"/>
    <w:rsid w:val="00BF032A"/>
    <w:rsid w:val="00BF2541"/>
    <w:rsid w:val="00BF2DB0"/>
    <w:rsid w:val="00BF2FBF"/>
    <w:rsid w:val="00BF38AC"/>
    <w:rsid w:val="00BF46A4"/>
    <w:rsid w:val="00BF486D"/>
    <w:rsid w:val="00BF48C5"/>
    <w:rsid w:val="00BF4D53"/>
    <w:rsid w:val="00C00370"/>
    <w:rsid w:val="00C008B5"/>
    <w:rsid w:val="00C00DA3"/>
    <w:rsid w:val="00C03659"/>
    <w:rsid w:val="00C03759"/>
    <w:rsid w:val="00C03D0F"/>
    <w:rsid w:val="00C04052"/>
    <w:rsid w:val="00C04999"/>
    <w:rsid w:val="00C04C7C"/>
    <w:rsid w:val="00C04F87"/>
    <w:rsid w:val="00C05CC2"/>
    <w:rsid w:val="00C0629C"/>
    <w:rsid w:val="00C07A37"/>
    <w:rsid w:val="00C12CC5"/>
    <w:rsid w:val="00C13134"/>
    <w:rsid w:val="00C14F05"/>
    <w:rsid w:val="00C1542D"/>
    <w:rsid w:val="00C16743"/>
    <w:rsid w:val="00C16CA9"/>
    <w:rsid w:val="00C16F1C"/>
    <w:rsid w:val="00C171EE"/>
    <w:rsid w:val="00C203F4"/>
    <w:rsid w:val="00C208E1"/>
    <w:rsid w:val="00C210ED"/>
    <w:rsid w:val="00C211B9"/>
    <w:rsid w:val="00C21772"/>
    <w:rsid w:val="00C222EF"/>
    <w:rsid w:val="00C2269F"/>
    <w:rsid w:val="00C22D8C"/>
    <w:rsid w:val="00C23287"/>
    <w:rsid w:val="00C23B88"/>
    <w:rsid w:val="00C23BAB"/>
    <w:rsid w:val="00C23D61"/>
    <w:rsid w:val="00C24EF5"/>
    <w:rsid w:val="00C25772"/>
    <w:rsid w:val="00C26037"/>
    <w:rsid w:val="00C2657B"/>
    <w:rsid w:val="00C266A8"/>
    <w:rsid w:val="00C26A79"/>
    <w:rsid w:val="00C272D4"/>
    <w:rsid w:val="00C2737B"/>
    <w:rsid w:val="00C3000D"/>
    <w:rsid w:val="00C30239"/>
    <w:rsid w:val="00C30783"/>
    <w:rsid w:val="00C31436"/>
    <w:rsid w:val="00C31E81"/>
    <w:rsid w:val="00C3210E"/>
    <w:rsid w:val="00C32B63"/>
    <w:rsid w:val="00C32CDA"/>
    <w:rsid w:val="00C32D74"/>
    <w:rsid w:val="00C34562"/>
    <w:rsid w:val="00C34859"/>
    <w:rsid w:val="00C34A6D"/>
    <w:rsid w:val="00C34D2C"/>
    <w:rsid w:val="00C359A9"/>
    <w:rsid w:val="00C35E9D"/>
    <w:rsid w:val="00C3637D"/>
    <w:rsid w:val="00C37FBD"/>
    <w:rsid w:val="00C4031C"/>
    <w:rsid w:val="00C409B4"/>
    <w:rsid w:val="00C41FF8"/>
    <w:rsid w:val="00C4215A"/>
    <w:rsid w:val="00C42238"/>
    <w:rsid w:val="00C4236C"/>
    <w:rsid w:val="00C43205"/>
    <w:rsid w:val="00C44204"/>
    <w:rsid w:val="00C4481F"/>
    <w:rsid w:val="00C45A7A"/>
    <w:rsid w:val="00C45D55"/>
    <w:rsid w:val="00C46AD4"/>
    <w:rsid w:val="00C46E0A"/>
    <w:rsid w:val="00C470D3"/>
    <w:rsid w:val="00C47909"/>
    <w:rsid w:val="00C50AB2"/>
    <w:rsid w:val="00C51BA8"/>
    <w:rsid w:val="00C52CA6"/>
    <w:rsid w:val="00C54DFF"/>
    <w:rsid w:val="00C57135"/>
    <w:rsid w:val="00C57958"/>
    <w:rsid w:val="00C57F80"/>
    <w:rsid w:val="00C60115"/>
    <w:rsid w:val="00C605C4"/>
    <w:rsid w:val="00C60F5F"/>
    <w:rsid w:val="00C6225C"/>
    <w:rsid w:val="00C63E9B"/>
    <w:rsid w:val="00C63ED7"/>
    <w:rsid w:val="00C6428F"/>
    <w:rsid w:val="00C6544A"/>
    <w:rsid w:val="00C656B7"/>
    <w:rsid w:val="00C65BA6"/>
    <w:rsid w:val="00C662EF"/>
    <w:rsid w:val="00C664B1"/>
    <w:rsid w:val="00C6657B"/>
    <w:rsid w:val="00C66CF0"/>
    <w:rsid w:val="00C67288"/>
    <w:rsid w:val="00C673BD"/>
    <w:rsid w:val="00C67B70"/>
    <w:rsid w:val="00C7042C"/>
    <w:rsid w:val="00C70986"/>
    <w:rsid w:val="00C72CA3"/>
    <w:rsid w:val="00C734D0"/>
    <w:rsid w:val="00C74330"/>
    <w:rsid w:val="00C74A06"/>
    <w:rsid w:val="00C74DAD"/>
    <w:rsid w:val="00C74ECF"/>
    <w:rsid w:val="00C75AC6"/>
    <w:rsid w:val="00C7645D"/>
    <w:rsid w:val="00C76968"/>
    <w:rsid w:val="00C76DB7"/>
    <w:rsid w:val="00C7759F"/>
    <w:rsid w:val="00C77731"/>
    <w:rsid w:val="00C8061A"/>
    <w:rsid w:val="00C80A77"/>
    <w:rsid w:val="00C81824"/>
    <w:rsid w:val="00C824D7"/>
    <w:rsid w:val="00C8465B"/>
    <w:rsid w:val="00C847EF"/>
    <w:rsid w:val="00C84EDF"/>
    <w:rsid w:val="00C85CAD"/>
    <w:rsid w:val="00C85E67"/>
    <w:rsid w:val="00C86031"/>
    <w:rsid w:val="00C86245"/>
    <w:rsid w:val="00C87480"/>
    <w:rsid w:val="00C876CB"/>
    <w:rsid w:val="00C9121E"/>
    <w:rsid w:val="00C93C48"/>
    <w:rsid w:val="00C9436B"/>
    <w:rsid w:val="00C947DC"/>
    <w:rsid w:val="00C95003"/>
    <w:rsid w:val="00C962CC"/>
    <w:rsid w:val="00C97B99"/>
    <w:rsid w:val="00C97CF9"/>
    <w:rsid w:val="00CA0B6E"/>
    <w:rsid w:val="00CA0E5C"/>
    <w:rsid w:val="00CA19DD"/>
    <w:rsid w:val="00CA1B2A"/>
    <w:rsid w:val="00CA1BD6"/>
    <w:rsid w:val="00CA37EF"/>
    <w:rsid w:val="00CA4D47"/>
    <w:rsid w:val="00CA4F0A"/>
    <w:rsid w:val="00CA4F66"/>
    <w:rsid w:val="00CA5304"/>
    <w:rsid w:val="00CA5F42"/>
    <w:rsid w:val="00CA6494"/>
    <w:rsid w:val="00CA722D"/>
    <w:rsid w:val="00CA76E8"/>
    <w:rsid w:val="00CA7BEA"/>
    <w:rsid w:val="00CA7EC6"/>
    <w:rsid w:val="00CB0105"/>
    <w:rsid w:val="00CB0316"/>
    <w:rsid w:val="00CB0922"/>
    <w:rsid w:val="00CB1626"/>
    <w:rsid w:val="00CB1694"/>
    <w:rsid w:val="00CB1958"/>
    <w:rsid w:val="00CB3AD0"/>
    <w:rsid w:val="00CB41E6"/>
    <w:rsid w:val="00CB439E"/>
    <w:rsid w:val="00CB43A7"/>
    <w:rsid w:val="00CB5230"/>
    <w:rsid w:val="00CB7010"/>
    <w:rsid w:val="00CB72A3"/>
    <w:rsid w:val="00CB7FB9"/>
    <w:rsid w:val="00CC1299"/>
    <w:rsid w:val="00CC132B"/>
    <w:rsid w:val="00CC1C6D"/>
    <w:rsid w:val="00CC30F7"/>
    <w:rsid w:val="00CC4C7F"/>
    <w:rsid w:val="00CC6D0F"/>
    <w:rsid w:val="00CC6FF1"/>
    <w:rsid w:val="00CC7748"/>
    <w:rsid w:val="00CC7A08"/>
    <w:rsid w:val="00CD0471"/>
    <w:rsid w:val="00CD04F2"/>
    <w:rsid w:val="00CD16A5"/>
    <w:rsid w:val="00CD1CFA"/>
    <w:rsid w:val="00CD3072"/>
    <w:rsid w:val="00CD30D1"/>
    <w:rsid w:val="00CD3E5F"/>
    <w:rsid w:val="00CD47FB"/>
    <w:rsid w:val="00CD48E0"/>
    <w:rsid w:val="00CD5102"/>
    <w:rsid w:val="00CD572D"/>
    <w:rsid w:val="00CD6049"/>
    <w:rsid w:val="00CD6482"/>
    <w:rsid w:val="00CD658D"/>
    <w:rsid w:val="00CD7487"/>
    <w:rsid w:val="00CE1FB0"/>
    <w:rsid w:val="00CE2CBA"/>
    <w:rsid w:val="00CE3686"/>
    <w:rsid w:val="00CE3EFA"/>
    <w:rsid w:val="00CE60E7"/>
    <w:rsid w:val="00CE73C6"/>
    <w:rsid w:val="00CE73E3"/>
    <w:rsid w:val="00CF0091"/>
    <w:rsid w:val="00CF01B8"/>
    <w:rsid w:val="00CF0824"/>
    <w:rsid w:val="00CF1924"/>
    <w:rsid w:val="00CF1C15"/>
    <w:rsid w:val="00CF2EC6"/>
    <w:rsid w:val="00CF327E"/>
    <w:rsid w:val="00CF3B85"/>
    <w:rsid w:val="00CF4B0E"/>
    <w:rsid w:val="00CF4B83"/>
    <w:rsid w:val="00CF5E79"/>
    <w:rsid w:val="00CF6498"/>
    <w:rsid w:val="00CF654D"/>
    <w:rsid w:val="00CF6F3E"/>
    <w:rsid w:val="00D00BEC"/>
    <w:rsid w:val="00D00DB8"/>
    <w:rsid w:val="00D0120C"/>
    <w:rsid w:val="00D01AC3"/>
    <w:rsid w:val="00D01BF0"/>
    <w:rsid w:val="00D025A6"/>
    <w:rsid w:val="00D039FD"/>
    <w:rsid w:val="00D04B1C"/>
    <w:rsid w:val="00D05133"/>
    <w:rsid w:val="00D05CC2"/>
    <w:rsid w:val="00D05DE4"/>
    <w:rsid w:val="00D073FF"/>
    <w:rsid w:val="00D07ED4"/>
    <w:rsid w:val="00D104BE"/>
    <w:rsid w:val="00D117E3"/>
    <w:rsid w:val="00D11DF8"/>
    <w:rsid w:val="00D121A3"/>
    <w:rsid w:val="00D12FFA"/>
    <w:rsid w:val="00D14B69"/>
    <w:rsid w:val="00D14CC4"/>
    <w:rsid w:val="00D16088"/>
    <w:rsid w:val="00D16136"/>
    <w:rsid w:val="00D162FD"/>
    <w:rsid w:val="00D16A26"/>
    <w:rsid w:val="00D17A23"/>
    <w:rsid w:val="00D200C8"/>
    <w:rsid w:val="00D20618"/>
    <w:rsid w:val="00D2167D"/>
    <w:rsid w:val="00D22682"/>
    <w:rsid w:val="00D22A50"/>
    <w:rsid w:val="00D233DA"/>
    <w:rsid w:val="00D23523"/>
    <w:rsid w:val="00D23969"/>
    <w:rsid w:val="00D23CCF"/>
    <w:rsid w:val="00D247B9"/>
    <w:rsid w:val="00D24B65"/>
    <w:rsid w:val="00D252ED"/>
    <w:rsid w:val="00D26183"/>
    <w:rsid w:val="00D27C97"/>
    <w:rsid w:val="00D30436"/>
    <w:rsid w:val="00D30EB5"/>
    <w:rsid w:val="00D31508"/>
    <w:rsid w:val="00D32B3C"/>
    <w:rsid w:val="00D342A7"/>
    <w:rsid w:val="00D360B4"/>
    <w:rsid w:val="00D37970"/>
    <w:rsid w:val="00D4057D"/>
    <w:rsid w:val="00D40737"/>
    <w:rsid w:val="00D420F2"/>
    <w:rsid w:val="00D425A9"/>
    <w:rsid w:val="00D42F28"/>
    <w:rsid w:val="00D4355D"/>
    <w:rsid w:val="00D4394A"/>
    <w:rsid w:val="00D43AF3"/>
    <w:rsid w:val="00D43E84"/>
    <w:rsid w:val="00D4410E"/>
    <w:rsid w:val="00D44188"/>
    <w:rsid w:val="00D442CE"/>
    <w:rsid w:val="00D444F2"/>
    <w:rsid w:val="00D46F55"/>
    <w:rsid w:val="00D5059C"/>
    <w:rsid w:val="00D51701"/>
    <w:rsid w:val="00D51AC0"/>
    <w:rsid w:val="00D51E70"/>
    <w:rsid w:val="00D523FC"/>
    <w:rsid w:val="00D536DC"/>
    <w:rsid w:val="00D54833"/>
    <w:rsid w:val="00D548FB"/>
    <w:rsid w:val="00D54D08"/>
    <w:rsid w:val="00D56B76"/>
    <w:rsid w:val="00D57547"/>
    <w:rsid w:val="00D5757A"/>
    <w:rsid w:val="00D57A15"/>
    <w:rsid w:val="00D61D90"/>
    <w:rsid w:val="00D62B64"/>
    <w:rsid w:val="00D62C8E"/>
    <w:rsid w:val="00D63C07"/>
    <w:rsid w:val="00D63EED"/>
    <w:rsid w:val="00D6485A"/>
    <w:rsid w:val="00D64CEA"/>
    <w:rsid w:val="00D64DA8"/>
    <w:rsid w:val="00D654C7"/>
    <w:rsid w:val="00D657E8"/>
    <w:rsid w:val="00D66A8C"/>
    <w:rsid w:val="00D702CB"/>
    <w:rsid w:val="00D70E43"/>
    <w:rsid w:val="00D7181F"/>
    <w:rsid w:val="00D71AFE"/>
    <w:rsid w:val="00D71E82"/>
    <w:rsid w:val="00D725F5"/>
    <w:rsid w:val="00D728B5"/>
    <w:rsid w:val="00D72C0D"/>
    <w:rsid w:val="00D73020"/>
    <w:rsid w:val="00D73885"/>
    <w:rsid w:val="00D746AA"/>
    <w:rsid w:val="00D74CCB"/>
    <w:rsid w:val="00D75757"/>
    <w:rsid w:val="00D765C0"/>
    <w:rsid w:val="00D77251"/>
    <w:rsid w:val="00D77263"/>
    <w:rsid w:val="00D80802"/>
    <w:rsid w:val="00D81026"/>
    <w:rsid w:val="00D8103A"/>
    <w:rsid w:val="00D81475"/>
    <w:rsid w:val="00D8298A"/>
    <w:rsid w:val="00D83A6E"/>
    <w:rsid w:val="00D843F9"/>
    <w:rsid w:val="00D851F4"/>
    <w:rsid w:val="00D85AAA"/>
    <w:rsid w:val="00D85FA9"/>
    <w:rsid w:val="00D866A4"/>
    <w:rsid w:val="00D902DC"/>
    <w:rsid w:val="00D906BF"/>
    <w:rsid w:val="00D9083B"/>
    <w:rsid w:val="00D911A0"/>
    <w:rsid w:val="00D914DE"/>
    <w:rsid w:val="00D915BF"/>
    <w:rsid w:val="00D91754"/>
    <w:rsid w:val="00D91B68"/>
    <w:rsid w:val="00D92145"/>
    <w:rsid w:val="00D92954"/>
    <w:rsid w:val="00D931FC"/>
    <w:rsid w:val="00D94062"/>
    <w:rsid w:val="00D95C43"/>
    <w:rsid w:val="00D95EFA"/>
    <w:rsid w:val="00D96A47"/>
    <w:rsid w:val="00D96AED"/>
    <w:rsid w:val="00D97302"/>
    <w:rsid w:val="00D97A93"/>
    <w:rsid w:val="00D97FB7"/>
    <w:rsid w:val="00DA2454"/>
    <w:rsid w:val="00DA2D79"/>
    <w:rsid w:val="00DA2FA7"/>
    <w:rsid w:val="00DA32E5"/>
    <w:rsid w:val="00DA36A8"/>
    <w:rsid w:val="00DA4453"/>
    <w:rsid w:val="00DA5A43"/>
    <w:rsid w:val="00DA635A"/>
    <w:rsid w:val="00DA6F89"/>
    <w:rsid w:val="00DA7719"/>
    <w:rsid w:val="00DA7995"/>
    <w:rsid w:val="00DB0167"/>
    <w:rsid w:val="00DB1188"/>
    <w:rsid w:val="00DB11D6"/>
    <w:rsid w:val="00DB16A4"/>
    <w:rsid w:val="00DB1EB8"/>
    <w:rsid w:val="00DB3275"/>
    <w:rsid w:val="00DB3E04"/>
    <w:rsid w:val="00DB3EC8"/>
    <w:rsid w:val="00DB3FE4"/>
    <w:rsid w:val="00DB4051"/>
    <w:rsid w:val="00DB4343"/>
    <w:rsid w:val="00DB4872"/>
    <w:rsid w:val="00DB55AC"/>
    <w:rsid w:val="00DB57E1"/>
    <w:rsid w:val="00DB57EB"/>
    <w:rsid w:val="00DB68A2"/>
    <w:rsid w:val="00DB722E"/>
    <w:rsid w:val="00DB7728"/>
    <w:rsid w:val="00DB79AA"/>
    <w:rsid w:val="00DC02ED"/>
    <w:rsid w:val="00DC110A"/>
    <w:rsid w:val="00DC1F40"/>
    <w:rsid w:val="00DC233A"/>
    <w:rsid w:val="00DC296D"/>
    <w:rsid w:val="00DC2A87"/>
    <w:rsid w:val="00DC2E05"/>
    <w:rsid w:val="00DC359E"/>
    <w:rsid w:val="00DC48B5"/>
    <w:rsid w:val="00DC592B"/>
    <w:rsid w:val="00DC5BE6"/>
    <w:rsid w:val="00DC77E2"/>
    <w:rsid w:val="00DD1841"/>
    <w:rsid w:val="00DD19A8"/>
    <w:rsid w:val="00DD2C12"/>
    <w:rsid w:val="00DD2DD4"/>
    <w:rsid w:val="00DD3411"/>
    <w:rsid w:val="00DD3696"/>
    <w:rsid w:val="00DD3844"/>
    <w:rsid w:val="00DD3B08"/>
    <w:rsid w:val="00DD4307"/>
    <w:rsid w:val="00DD4439"/>
    <w:rsid w:val="00DD4552"/>
    <w:rsid w:val="00DD53BE"/>
    <w:rsid w:val="00DD6121"/>
    <w:rsid w:val="00DD6834"/>
    <w:rsid w:val="00DD6F9E"/>
    <w:rsid w:val="00DD7818"/>
    <w:rsid w:val="00DE0127"/>
    <w:rsid w:val="00DE0452"/>
    <w:rsid w:val="00DE0B62"/>
    <w:rsid w:val="00DE1311"/>
    <w:rsid w:val="00DE2373"/>
    <w:rsid w:val="00DE287A"/>
    <w:rsid w:val="00DE2E6E"/>
    <w:rsid w:val="00DE2F6E"/>
    <w:rsid w:val="00DE3A26"/>
    <w:rsid w:val="00DE40D7"/>
    <w:rsid w:val="00DE41B6"/>
    <w:rsid w:val="00DE4390"/>
    <w:rsid w:val="00DE491A"/>
    <w:rsid w:val="00DE5603"/>
    <w:rsid w:val="00DE5EE6"/>
    <w:rsid w:val="00DE6AF2"/>
    <w:rsid w:val="00DE6C08"/>
    <w:rsid w:val="00DE7805"/>
    <w:rsid w:val="00DE791F"/>
    <w:rsid w:val="00DF12EA"/>
    <w:rsid w:val="00DF1D14"/>
    <w:rsid w:val="00DF2412"/>
    <w:rsid w:val="00DF2432"/>
    <w:rsid w:val="00DF24C0"/>
    <w:rsid w:val="00DF255A"/>
    <w:rsid w:val="00DF2999"/>
    <w:rsid w:val="00DF2E87"/>
    <w:rsid w:val="00DF2F86"/>
    <w:rsid w:val="00DF3287"/>
    <w:rsid w:val="00DF33E0"/>
    <w:rsid w:val="00DF35EC"/>
    <w:rsid w:val="00DF4457"/>
    <w:rsid w:val="00DF530D"/>
    <w:rsid w:val="00DF5460"/>
    <w:rsid w:val="00DF5972"/>
    <w:rsid w:val="00DF677E"/>
    <w:rsid w:val="00DF6B1F"/>
    <w:rsid w:val="00DF76C1"/>
    <w:rsid w:val="00DF7CF2"/>
    <w:rsid w:val="00E01CB6"/>
    <w:rsid w:val="00E01D02"/>
    <w:rsid w:val="00E02773"/>
    <w:rsid w:val="00E02E6D"/>
    <w:rsid w:val="00E03641"/>
    <w:rsid w:val="00E0370C"/>
    <w:rsid w:val="00E045F7"/>
    <w:rsid w:val="00E05693"/>
    <w:rsid w:val="00E067C1"/>
    <w:rsid w:val="00E069D1"/>
    <w:rsid w:val="00E071AA"/>
    <w:rsid w:val="00E07A92"/>
    <w:rsid w:val="00E07EA6"/>
    <w:rsid w:val="00E1010A"/>
    <w:rsid w:val="00E10285"/>
    <w:rsid w:val="00E11F68"/>
    <w:rsid w:val="00E1253D"/>
    <w:rsid w:val="00E1267A"/>
    <w:rsid w:val="00E12CAB"/>
    <w:rsid w:val="00E12F38"/>
    <w:rsid w:val="00E135AC"/>
    <w:rsid w:val="00E1397B"/>
    <w:rsid w:val="00E13FD7"/>
    <w:rsid w:val="00E140E1"/>
    <w:rsid w:val="00E1446D"/>
    <w:rsid w:val="00E149FF"/>
    <w:rsid w:val="00E15622"/>
    <w:rsid w:val="00E15DA0"/>
    <w:rsid w:val="00E17610"/>
    <w:rsid w:val="00E2041D"/>
    <w:rsid w:val="00E2165B"/>
    <w:rsid w:val="00E21677"/>
    <w:rsid w:val="00E218C0"/>
    <w:rsid w:val="00E21911"/>
    <w:rsid w:val="00E22A95"/>
    <w:rsid w:val="00E22ADC"/>
    <w:rsid w:val="00E23166"/>
    <w:rsid w:val="00E232D1"/>
    <w:rsid w:val="00E2399D"/>
    <w:rsid w:val="00E2425A"/>
    <w:rsid w:val="00E24812"/>
    <w:rsid w:val="00E25A58"/>
    <w:rsid w:val="00E2766E"/>
    <w:rsid w:val="00E27A55"/>
    <w:rsid w:val="00E27F79"/>
    <w:rsid w:val="00E300F2"/>
    <w:rsid w:val="00E30F98"/>
    <w:rsid w:val="00E31DDE"/>
    <w:rsid w:val="00E32F9C"/>
    <w:rsid w:val="00E33178"/>
    <w:rsid w:val="00E334B2"/>
    <w:rsid w:val="00E34522"/>
    <w:rsid w:val="00E34A04"/>
    <w:rsid w:val="00E34BE9"/>
    <w:rsid w:val="00E3505A"/>
    <w:rsid w:val="00E352FB"/>
    <w:rsid w:val="00E370B3"/>
    <w:rsid w:val="00E370BC"/>
    <w:rsid w:val="00E37956"/>
    <w:rsid w:val="00E401F7"/>
    <w:rsid w:val="00E40AF6"/>
    <w:rsid w:val="00E40E63"/>
    <w:rsid w:val="00E41D43"/>
    <w:rsid w:val="00E43E38"/>
    <w:rsid w:val="00E44D6D"/>
    <w:rsid w:val="00E46074"/>
    <w:rsid w:val="00E46D4C"/>
    <w:rsid w:val="00E50706"/>
    <w:rsid w:val="00E513FD"/>
    <w:rsid w:val="00E5148F"/>
    <w:rsid w:val="00E518B3"/>
    <w:rsid w:val="00E5274B"/>
    <w:rsid w:val="00E52E0C"/>
    <w:rsid w:val="00E53878"/>
    <w:rsid w:val="00E53F04"/>
    <w:rsid w:val="00E54E54"/>
    <w:rsid w:val="00E5557E"/>
    <w:rsid w:val="00E560B5"/>
    <w:rsid w:val="00E60410"/>
    <w:rsid w:val="00E60767"/>
    <w:rsid w:val="00E60B1A"/>
    <w:rsid w:val="00E61291"/>
    <w:rsid w:val="00E624E3"/>
    <w:rsid w:val="00E6298C"/>
    <w:rsid w:val="00E6355F"/>
    <w:rsid w:val="00E64202"/>
    <w:rsid w:val="00E64768"/>
    <w:rsid w:val="00E66084"/>
    <w:rsid w:val="00E664A1"/>
    <w:rsid w:val="00E66B2D"/>
    <w:rsid w:val="00E67037"/>
    <w:rsid w:val="00E678C0"/>
    <w:rsid w:val="00E67EB4"/>
    <w:rsid w:val="00E70A56"/>
    <w:rsid w:val="00E71FDA"/>
    <w:rsid w:val="00E721BB"/>
    <w:rsid w:val="00E72779"/>
    <w:rsid w:val="00E7432C"/>
    <w:rsid w:val="00E74736"/>
    <w:rsid w:val="00E7673B"/>
    <w:rsid w:val="00E76856"/>
    <w:rsid w:val="00E77081"/>
    <w:rsid w:val="00E803B7"/>
    <w:rsid w:val="00E813AD"/>
    <w:rsid w:val="00E836FB"/>
    <w:rsid w:val="00E8422F"/>
    <w:rsid w:val="00E842B0"/>
    <w:rsid w:val="00E847A0"/>
    <w:rsid w:val="00E84A73"/>
    <w:rsid w:val="00E8512F"/>
    <w:rsid w:val="00E853AA"/>
    <w:rsid w:val="00E872E8"/>
    <w:rsid w:val="00E873D4"/>
    <w:rsid w:val="00E9140A"/>
    <w:rsid w:val="00E91D67"/>
    <w:rsid w:val="00E92AE4"/>
    <w:rsid w:val="00E932AF"/>
    <w:rsid w:val="00E93459"/>
    <w:rsid w:val="00E93C2B"/>
    <w:rsid w:val="00E93FD2"/>
    <w:rsid w:val="00E94099"/>
    <w:rsid w:val="00E94A79"/>
    <w:rsid w:val="00E94C19"/>
    <w:rsid w:val="00E95EB4"/>
    <w:rsid w:val="00E95EF9"/>
    <w:rsid w:val="00E9616D"/>
    <w:rsid w:val="00E9681F"/>
    <w:rsid w:val="00EA11BB"/>
    <w:rsid w:val="00EA12DC"/>
    <w:rsid w:val="00EA13EF"/>
    <w:rsid w:val="00EA1E43"/>
    <w:rsid w:val="00EA2ABA"/>
    <w:rsid w:val="00EA341C"/>
    <w:rsid w:val="00EA38CB"/>
    <w:rsid w:val="00EA4C1B"/>
    <w:rsid w:val="00EA61D3"/>
    <w:rsid w:val="00EA650C"/>
    <w:rsid w:val="00EA7323"/>
    <w:rsid w:val="00EB0354"/>
    <w:rsid w:val="00EB250A"/>
    <w:rsid w:val="00EB311E"/>
    <w:rsid w:val="00EB32E0"/>
    <w:rsid w:val="00EB5040"/>
    <w:rsid w:val="00EB5B08"/>
    <w:rsid w:val="00EB5C69"/>
    <w:rsid w:val="00EB6935"/>
    <w:rsid w:val="00EB70C9"/>
    <w:rsid w:val="00EB7C21"/>
    <w:rsid w:val="00EB7FB5"/>
    <w:rsid w:val="00EC019C"/>
    <w:rsid w:val="00EC01F2"/>
    <w:rsid w:val="00EC2A65"/>
    <w:rsid w:val="00EC2D1B"/>
    <w:rsid w:val="00EC3775"/>
    <w:rsid w:val="00EC387C"/>
    <w:rsid w:val="00EC404E"/>
    <w:rsid w:val="00EC4948"/>
    <w:rsid w:val="00EC4FC3"/>
    <w:rsid w:val="00EC51B5"/>
    <w:rsid w:val="00EC51FD"/>
    <w:rsid w:val="00EC6055"/>
    <w:rsid w:val="00EC6E9E"/>
    <w:rsid w:val="00EC70DE"/>
    <w:rsid w:val="00ED022E"/>
    <w:rsid w:val="00ED17D0"/>
    <w:rsid w:val="00ED198F"/>
    <w:rsid w:val="00ED2156"/>
    <w:rsid w:val="00ED302C"/>
    <w:rsid w:val="00ED348C"/>
    <w:rsid w:val="00ED36AD"/>
    <w:rsid w:val="00ED401D"/>
    <w:rsid w:val="00ED49D6"/>
    <w:rsid w:val="00ED4BD2"/>
    <w:rsid w:val="00ED69F9"/>
    <w:rsid w:val="00ED6D22"/>
    <w:rsid w:val="00ED7BF1"/>
    <w:rsid w:val="00ED7FBF"/>
    <w:rsid w:val="00EE0F04"/>
    <w:rsid w:val="00EE13E6"/>
    <w:rsid w:val="00EE187A"/>
    <w:rsid w:val="00EE28D6"/>
    <w:rsid w:val="00EE5145"/>
    <w:rsid w:val="00EE5256"/>
    <w:rsid w:val="00EE5C91"/>
    <w:rsid w:val="00EE6047"/>
    <w:rsid w:val="00EE6159"/>
    <w:rsid w:val="00EE798B"/>
    <w:rsid w:val="00EE7A57"/>
    <w:rsid w:val="00EF0F3E"/>
    <w:rsid w:val="00EF1041"/>
    <w:rsid w:val="00EF1EF8"/>
    <w:rsid w:val="00EF2CF9"/>
    <w:rsid w:val="00EF2F33"/>
    <w:rsid w:val="00EF5D7F"/>
    <w:rsid w:val="00EF66D0"/>
    <w:rsid w:val="00F02949"/>
    <w:rsid w:val="00F02955"/>
    <w:rsid w:val="00F02A5D"/>
    <w:rsid w:val="00F02F60"/>
    <w:rsid w:val="00F03472"/>
    <w:rsid w:val="00F038D8"/>
    <w:rsid w:val="00F03DC7"/>
    <w:rsid w:val="00F03F48"/>
    <w:rsid w:val="00F042F8"/>
    <w:rsid w:val="00F04DAB"/>
    <w:rsid w:val="00F055E7"/>
    <w:rsid w:val="00F07F5F"/>
    <w:rsid w:val="00F107CF"/>
    <w:rsid w:val="00F1125A"/>
    <w:rsid w:val="00F11344"/>
    <w:rsid w:val="00F12AB8"/>
    <w:rsid w:val="00F12B7C"/>
    <w:rsid w:val="00F142A4"/>
    <w:rsid w:val="00F145C4"/>
    <w:rsid w:val="00F151AD"/>
    <w:rsid w:val="00F16CFA"/>
    <w:rsid w:val="00F16D04"/>
    <w:rsid w:val="00F17696"/>
    <w:rsid w:val="00F1773C"/>
    <w:rsid w:val="00F17BA1"/>
    <w:rsid w:val="00F20382"/>
    <w:rsid w:val="00F20620"/>
    <w:rsid w:val="00F20CD4"/>
    <w:rsid w:val="00F20F3B"/>
    <w:rsid w:val="00F2129D"/>
    <w:rsid w:val="00F212F5"/>
    <w:rsid w:val="00F21470"/>
    <w:rsid w:val="00F214B0"/>
    <w:rsid w:val="00F2157D"/>
    <w:rsid w:val="00F23095"/>
    <w:rsid w:val="00F2343B"/>
    <w:rsid w:val="00F238C4"/>
    <w:rsid w:val="00F25257"/>
    <w:rsid w:val="00F261C3"/>
    <w:rsid w:val="00F2707B"/>
    <w:rsid w:val="00F2758A"/>
    <w:rsid w:val="00F27674"/>
    <w:rsid w:val="00F27701"/>
    <w:rsid w:val="00F27750"/>
    <w:rsid w:val="00F27881"/>
    <w:rsid w:val="00F27E74"/>
    <w:rsid w:val="00F3097A"/>
    <w:rsid w:val="00F30BC4"/>
    <w:rsid w:val="00F31256"/>
    <w:rsid w:val="00F32178"/>
    <w:rsid w:val="00F331DD"/>
    <w:rsid w:val="00F33BB2"/>
    <w:rsid w:val="00F33E0C"/>
    <w:rsid w:val="00F34F7F"/>
    <w:rsid w:val="00F34FB1"/>
    <w:rsid w:val="00F35072"/>
    <w:rsid w:val="00F35530"/>
    <w:rsid w:val="00F35669"/>
    <w:rsid w:val="00F370FD"/>
    <w:rsid w:val="00F374D0"/>
    <w:rsid w:val="00F40AB2"/>
    <w:rsid w:val="00F40ACC"/>
    <w:rsid w:val="00F40CEB"/>
    <w:rsid w:val="00F411B2"/>
    <w:rsid w:val="00F414AE"/>
    <w:rsid w:val="00F42064"/>
    <w:rsid w:val="00F4379E"/>
    <w:rsid w:val="00F43893"/>
    <w:rsid w:val="00F43C06"/>
    <w:rsid w:val="00F4479D"/>
    <w:rsid w:val="00F4495E"/>
    <w:rsid w:val="00F46716"/>
    <w:rsid w:val="00F46A1E"/>
    <w:rsid w:val="00F4756F"/>
    <w:rsid w:val="00F477B6"/>
    <w:rsid w:val="00F5072F"/>
    <w:rsid w:val="00F5158F"/>
    <w:rsid w:val="00F51775"/>
    <w:rsid w:val="00F51BF4"/>
    <w:rsid w:val="00F52B4A"/>
    <w:rsid w:val="00F534AB"/>
    <w:rsid w:val="00F541E4"/>
    <w:rsid w:val="00F549D7"/>
    <w:rsid w:val="00F54C34"/>
    <w:rsid w:val="00F551D4"/>
    <w:rsid w:val="00F5797A"/>
    <w:rsid w:val="00F57B80"/>
    <w:rsid w:val="00F600C3"/>
    <w:rsid w:val="00F60BF5"/>
    <w:rsid w:val="00F60FF8"/>
    <w:rsid w:val="00F61404"/>
    <w:rsid w:val="00F61416"/>
    <w:rsid w:val="00F62FEB"/>
    <w:rsid w:val="00F63205"/>
    <w:rsid w:val="00F63593"/>
    <w:rsid w:val="00F6412B"/>
    <w:rsid w:val="00F64143"/>
    <w:rsid w:val="00F65845"/>
    <w:rsid w:val="00F65C2A"/>
    <w:rsid w:val="00F65EDB"/>
    <w:rsid w:val="00F66656"/>
    <w:rsid w:val="00F66D9F"/>
    <w:rsid w:val="00F66E50"/>
    <w:rsid w:val="00F6713E"/>
    <w:rsid w:val="00F671B6"/>
    <w:rsid w:val="00F70774"/>
    <w:rsid w:val="00F70A8E"/>
    <w:rsid w:val="00F715F0"/>
    <w:rsid w:val="00F71BF2"/>
    <w:rsid w:val="00F71D18"/>
    <w:rsid w:val="00F727EB"/>
    <w:rsid w:val="00F72B7A"/>
    <w:rsid w:val="00F73A5A"/>
    <w:rsid w:val="00F74A0D"/>
    <w:rsid w:val="00F74A8B"/>
    <w:rsid w:val="00F74FAE"/>
    <w:rsid w:val="00F75EA2"/>
    <w:rsid w:val="00F77184"/>
    <w:rsid w:val="00F776F4"/>
    <w:rsid w:val="00F77B74"/>
    <w:rsid w:val="00F801EE"/>
    <w:rsid w:val="00F80535"/>
    <w:rsid w:val="00F8075D"/>
    <w:rsid w:val="00F80908"/>
    <w:rsid w:val="00F81EF8"/>
    <w:rsid w:val="00F84BC3"/>
    <w:rsid w:val="00F84D5A"/>
    <w:rsid w:val="00F8532B"/>
    <w:rsid w:val="00F86723"/>
    <w:rsid w:val="00F86A53"/>
    <w:rsid w:val="00F87370"/>
    <w:rsid w:val="00F8745B"/>
    <w:rsid w:val="00F876CA"/>
    <w:rsid w:val="00F9117E"/>
    <w:rsid w:val="00F91638"/>
    <w:rsid w:val="00F922B2"/>
    <w:rsid w:val="00F92BC3"/>
    <w:rsid w:val="00F93FEA"/>
    <w:rsid w:val="00F944BD"/>
    <w:rsid w:val="00F945A6"/>
    <w:rsid w:val="00F94738"/>
    <w:rsid w:val="00F9536C"/>
    <w:rsid w:val="00F9589D"/>
    <w:rsid w:val="00F97EBC"/>
    <w:rsid w:val="00FA1D4F"/>
    <w:rsid w:val="00FA252E"/>
    <w:rsid w:val="00FA31FA"/>
    <w:rsid w:val="00FA36C6"/>
    <w:rsid w:val="00FA3BFD"/>
    <w:rsid w:val="00FA4A5B"/>
    <w:rsid w:val="00FA4D8E"/>
    <w:rsid w:val="00FA53B1"/>
    <w:rsid w:val="00FA54E9"/>
    <w:rsid w:val="00FA5F1E"/>
    <w:rsid w:val="00FA6726"/>
    <w:rsid w:val="00FA6CFC"/>
    <w:rsid w:val="00FA7696"/>
    <w:rsid w:val="00FB0B9C"/>
    <w:rsid w:val="00FB1D91"/>
    <w:rsid w:val="00FB2124"/>
    <w:rsid w:val="00FB2162"/>
    <w:rsid w:val="00FB278F"/>
    <w:rsid w:val="00FB27DB"/>
    <w:rsid w:val="00FB3D0B"/>
    <w:rsid w:val="00FB4497"/>
    <w:rsid w:val="00FB4AB3"/>
    <w:rsid w:val="00FB50E7"/>
    <w:rsid w:val="00FB552C"/>
    <w:rsid w:val="00FB639C"/>
    <w:rsid w:val="00FB7DE0"/>
    <w:rsid w:val="00FC223A"/>
    <w:rsid w:val="00FC25D6"/>
    <w:rsid w:val="00FC2E0E"/>
    <w:rsid w:val="00FC3E4C"/>
    <w:rsid w:val="00FC59B4"/>
    <w:rsid w:val="00FC682C"/>
    <w:rsid w:val="00FC7235"/>
    <w:rsid w:val="00FC763E"/>
    <w:rsid w:val="00FC7982"/>
    <w:rsid w:val="00FC7AA0"/>
    <w:rsid w:val="00FC7D2A"/>
    <w:rsid w:val="00FD00C2"/>
    <w:rsid w:val="00FD0AA7"/>
    <w:rsid w:val="00FD1E48"/>
    <w:rsid w:val="00FD36E6"/>
    <w:rsid w:val="00FD3A39"/>
    <w:rsid w:val="00FD3B55"/>
    <w:rsid w:val="00FD437B"/>
    <w:rsid w:val="00FD43A0"/>
    <w:rsid w:val="00FD70BC"/>
    <w:rsid w:val="00FE05B4"/>
    <w:rsid w:val="00FE0C3D"/>
    <w:rsid w:val="00FE0E64"/>
    <w:rsid w:val="00FE1350"/>
    <w:rsid w:val="00FE1468"/>
    <w:rsid w:val="00FE14A9"/>
    <w:rsid w:val="00FE1C57"/>
    <w:rsid w:val="00FE2B1B"/>
    <w:rsid w:val="00FE32D0"/>
    <w:rsid w:val="00FE3688"/>
    <w:rsid w:val="00FE3AC3"/>
    <w:rsid w:val="00FE3C60"/>
    <w:rsid w:val="00FE3E33"/>
    <w:rsid w:val="00FE40BD"/>
    <w:rsid w:val="00FE44BC"/>
    <w:rsid w:val="00FE4743"/>
    <w:rsid w:val="00FE5906"/>
    <w:rsid w:val="00FE7234"/>
    <w:rsid w:val="00FE7A21"/>
    <w:rsid w:val="00FE7D35"/>
    <w:rsid w:val="00FF0FEF"/>
    <w:rsid w:val="00FF1CA6"/>
    <w:rsid w:val="00FF1EF9"/>
    <w:rsid w:val="00FF34DD"/>
    <w:rsid w:val="00FF49BB"/>
    <w:rsid w:val="00FF5216"/>
    <w:rsid w:val="00FF554A"/>
    <w:rsid w:val="00FF56B7"/>
    <w:rsid w:val="00FF678F"/>
    <w:rsid w:val="00FF711C"/>
    <w:rsid w:val="00FF71D4"/>
    <w:rsid w:val="00FF7A8D"/>
    <w:rsid w:val="00FF7A90"/>
    <w:rsid w:val="08590DD5"/>
    <w:rsid w:val="58DC5AB1"/>
    <w:rsid w:val="713937FC"/>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276" w:lineRule="auto"/>
    </w:pPr>
    <w:rPr>
      <w:rFonts w:ascii="Times New Roman" w:hAnsi="Times New Roman" w:eastAsia="宋体" w:cs="Times New Roman"/>
      <w:szCs w:val="22"/>
      <w:lang w:val="en-US" w:eastAsia="zh-CN" w:bidi="ar-SA"/>
    </w:rPr>
  </w:style>
  <w:style w:type="paragraph" w:styleId="2">
    <w:name w:val="heading 1"/>
    <w:basedOn w:val="1"/>
    <w:next w:val="1"/>
    <w:link w:val="21"/>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57"/>
    <w:unhideWhenUsed/>
    <w:qFormat/>
    <w:uiPriority w:val="9"/>
    <w:pPr>
      <w:keepNext/>
      <w:keepLines/>
      <w:numPr>
        <w:ilvl w:val="1"/>
        <w:numId w:val="1"/>
      </w:numPr>
      <w:spacing w:line="415" w:lineRule="auto"/>
      <w:outlineLvl w:val="1"/>
    </w:pPr>
    <w:rPr>
      <w:rFonts w:ascii="Cambria" w:hAnsi="Cambria"/>
      <w:b/>
      <w:bCs/>
      <w:sz w:val="32"/>
      <w:szCs w:val="32"/>
    </w:rPr>
  </w:style>
  <w:style w:type="paragraph" w:styleId="4">
    <w:name w:val="heading 3"/>
    <w:basedOn w:val="1"/>
    <w:next w:val="1"/>
    <w:link w:val="37"/>
    <w:unhideWhenUsed/>
    <w:qFormat/>
    <w:uiPriority w:val="0"/>
    <w:pPr>
      <w:keepNext/>
      <w:keepLines/>
      <w:numPr>
        <w:ilvl w:val="2"/>
        <w:numId w:val="2"/>
      </w:numPr>
      <w:spacing w:before="260" w:after="260" w:line="416" w:lineRule="auto"/>
      <w:outlineLvl w:val="2"/>
    </w:pPr>
    <w:rPr>
      <w:b/>
      <w:bCs/>
      <w:sz w:val="32"/>
      <w:szCs w:val="32"/>
    </w:rPr>
  </w:style>
  <w:style w:type="character" w:default="1" w:styleId="15">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25"/>
    <w:unhideWhenUsed/>
    <w:qFormat/>
    <w:uiPriority w:val="99"/>
    <w:rPr>
      <w:b/>
      <w:bCs/>
    </w:rPr>
  </w:style>
  <w:style w:type="paragraph" w:styleId="6">
    <w:name w:val="annotation text"/>
    <w:basedOn w:val="1"/>
    <w:link w:val="24"/>
    <w:unhideWhenUsed/>
    <w:qFormat/>
    <w:uiPriority w:val="0"/>
    <w:rPr>
      <w:szCs w:val="20"/>
    </w:rPr>
  </w:style>
  <w:style w:type="paragraph" w:styleId="7">
    <w:name w:val="Normal Indent"/>
    <w:basedOn w:val="1"/>
    <w:qFormat/>
    <w:uiPriority w:val="0"/>
    <w:pPr>
      <w:widowControl w:val="0"/>
      <w:spacing w:after="0" w:line="240" w:lineRule="auto"/>
      <w:ind w:firstLine="420"/>
      <w:jc w:val="both"/>
    </w:pPr>
    <w:rPr>
      <w:kern w:val="2"/>
      <w:sz w:val="21"/>
      <w:szCs w:val="20"/>
    </w:rPr>
  </w:style>
  <w:style w:type="paragraph" w:styleId="8">
    <w:name w:val="caption"/>
    <w:basedOn w:val="1"/>
    <w:next w:val="1"/>
    <w:link w:val="29"/>
    <w:qFormat/>
    <w:uiPriority w:val="0"/>
    <w:pPr>
      <w:tabs>
        <w:tab w:val="left" w:pos="1418"/>
      </w:tabs>
      <w:spacing w:line="240" w:lineRule="auto"/>
    </w:pPr>
    <w:rPr>
      <w:b/>
      <w:bCs/>
      <w:szCs w:val="20"/>
      <w:lang w:val="en-GB" w:eastAsia="sv-SE"/>
    </w:rPr>
  </w:style>
  <w:style w:type="paragraph" w:styleId="9">
    <w:name w:val="Document Map"/>
    <w:basedOn w:val="1"/>
    <w:link w:val="27"/>
    <w:unhideWhenUsed/>
    <w:qFormat/>
    <w:uiPriority w:val="99"/>
    <w:rPr>
      <w:rFonts w:ascii="宋体"/>
      <w:sz w:val="18"/>
      <w:szCs w:val="18"/>
    </w:rPr>
  </w:style>
  <w:style w:type="paragraph" w:styleId="10">
    <w:name w:val="Body Text"/>
    <w:basedOn w:val="1"/>
    <w:link w:val="28"/>
    <w:qFormat/>
    <w:uiPriority w:val="0"/>
    <w:pPr>
      <w:widowControl w:val="0"/>
      <w:spacing w:after="0" w:line="240" w:lineRule="auto"/>
      <w:jc w:val="both"/>
    </w:pPr>
    <w:rPr>
      <w:color w:val="0000FF"/>
      <w:kern w:val="2"/>
      <w:sz w:val="21"/>
      <w:szCs w:val="20"/>
    </w:rPr>
  </w:style>
  <w:style w:type="paragraph" w:styleId="11">
    <w:name w:val="Balloon Text"/>
    <w:basedOn w:val="1"/>
    <w:link w:val="26"/>
    <w:unhideWhenUsed/>
    <w:qFormat/>
    <w:uiPriority w:val="99"/>
    <w:pPr>
      <w:spacing w:after="0" w:line="240" w:lineRule="auto"/>
    </w:pPr>
    <w:rPr>
      <w:rFonts w:ascii="Tahoma" w:hAnsi="Tahoma"/>
      <w:sz w:val="16"/>
      <w:szCs w:val="16"/>
    </w:rPr>
  </w:style>
  <w:style w:type="paragraph" w:styleId="12">
    <w:name w:val="footer"/>
    <w:basedOn w:val="1"/>
    <w:qFormat/>
    <w:uiPriority w:val="0"/>
    <w:pPr>
      <w:tabs>
        <w:tab w:val="center" w:pos="4153"/>
        <w:tab w:val="right" w:pos="8306"/>
      </w:tabs>
      <w:snapToGrid w:val="0"/>
      <w:spacing w:line="240" w:lineRule="auto"/>
    </w:pPr>
    <w:rPr>
      <w:sz w:val="18"/>
      <w:szCs w:val="18"/>
    </w:rPr>
  </w:style>
  <w:style w:type="paragraph" w:styleId="13">
    <w:name w:val="header"/>
    <w:basedOn w:val="1"/>
    <w:link w:val="22"/>
    <w:qFormat/>
    <w:uiPriority w:val="0"/>
    <w:pPr>
      <w:tabs>
        <w:tab w:val="center" w:pos="4536"/>
        <w:tab w:val="right" w:pos="9072"/>
      </w:tabs>
      <w:spacing w:after="0" w:line="240" w:lineRule="auto"/>
    </w:pPr>
    <w:rPr>
      <w:rFonts w:ascii="Arial" w:hAnsi="Arial" w:eastAsia="MS Mincho"/>
      <w:b/>
      <w:szCs w:val="24"/>
      <w:lang w:eastAsia="en-US"/>
    </w:rPr>
  </w:style>
  <w:style w:type="paragraph" w:styleId="1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character" w:styleId="16">
    <w:name w:val="Hyperlink"/>
    <w:basedOn w:val="15"/>
    <w:unhideWhenUsed/>
    <w:qFormat/>
    <w:uiPriority w:val="99"/>
    <w:rPr>
      <w:color w:val="0000FF"/>
      <w:u w:val="single"/>
    </w:rPr>
  </w:style>
  <w:style w:type="character" w:styleId="17">
    <w:name w:val="annotation reference"/>
    <w:unhideWhenUsed/>
    <w:qFormat/>
    <w:uiPriority w:val="0"/>
    <w:rPr>
      <w:sz w:val="16"/>
      <w:szCs w:val="16"/>
    </w:rPr>
  </w:style>
  <w:style w:type="character" w:styleId="18">
    <w:name w:val="footnote reference"/>
    <w:semiHidden/>
    <w:qFormat/>
    <w:uiPriority w:val="0"/>
    <w:rPr>
      <w:b/>
      <w:position w:val="6"/>
      <w:sz w:val="16"/>
    </w:rPr>
  </w:style>
  <w:style w:type="table" w:styleId="20">
    <w:name w:val="Table Grid"/>
    <w:basedOn w:val="1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21">
    <w:name w:val="Heading 1 Char"/>
    <w:link w:val="2"/>
    <w:qFormat/>
    <w:uiPriority w:val="99"/>
    <w:rPr>
      <w:rFonts w:ascii="Arial" w:hAnsi="Arial" w:eastAsia="黑体"/>
      <w:b/>
      <w:bCs/>
      <w:sz w:val="30"/>
      <w:szCs w:val="30"/>
      <w:lang w:val="zh-CN"/>
    </w:rPr>
  </w:style>
  <w:style w:type="character" w:customStyle="1" w:styleId="22">
    <w:name w:val="Header Char"/>
    <w:link w:val="13"/>
    <w:qFormat/>
    <w:uiPriority w:val="0"/>
    <w:rPr>
      <w:rFonts w:ascii="Arial" w:hAnsi="Arial" w:eastAsia="MS Mincho"/>
      <w:b/>
      <w:szCs w:val="24"/>
      <w:lang w:eastAsia="en-US"/>
    </w:rPr>
  </w:style>
  <w:style w:type="paragraph" w:customStyle="1" w:styleId="23">
    <w:name w:val="Char Char1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character" w:customStyle="1" w:styleId="24">
    <w:name w:val="Comment Text Char"/>
    <w:basedOn w:val="15"/>
    <w:link w:val="6"/>
    <w:semiHidden/>
    <w:qFormat/>
    <w:uiPriority w:val="0"/>
  </w:style>
  <w:style w:type="character" w:customStyle="1" w:styleId="25">
    <w:name w:val="Comment Subject Char"/>
    <w:link w:val="5"/>
    <w:semiHidden/>
    <w:qFormat/>
    <w:uiPriority w:val="99"/>
    <w:rPr>
      <w:b/>
      <w:bCs/>
    </w:rPr>
  </w:style>
  <w:style w:type="character" w:customStyle="1" w:styleId="26">
    <w:name w:val="Balloon Text Char"/>
    <w:link w:val="11"/>
    <w:semiHidden/>
    <w:qFormat/>
    <w:uiPriority w:val="99"/>
    <w:rPr>
      <w:rFonts w:ascii="Tahoma" w:hAnsi="Tahoma" w:cs="Tahoma"/>
      <w:sz w:val="16"/>
      <w:szCs w:val="16"/>
    </w:rPr>
  </w:style>
  <w:style w:type="character" w:customStyle="1" w:styleId="27">
    <w:name w:val="Document Map Char"/>
    <w:link w:val="9"/>
    <w:semiHidden/>
    <w:qFormat/>
    <w:uiPriority w:val="99"/>
    <w:rPr>
      <w:rFonts w:ascii="宋体"/>
      <w:sz w:val="18"/>
      <w:szCs w:val="18"/>
    </w:rPr>
  </w:style>
  <w:style w:type="character" w:customStyle="1" w:styleId="28">
    <w:name w:val="Body Text Char"/>
    <w:link w:val="10"/>
    <w:qFormat/>
    <w:uiPriority w:val="0"/>
    <w:rPr>
      <w:rFonts w:ascii="Times New Roman" w:hAnsi="Times New Roman"/>
      <w:color w:val="0000FF"/>
      <w:kern w:val="2"/>
      <w:sz w:val="21"/>
    </w:rPr>
  </w:style>
  <w:style w:type="character" w:customStyle="1" w:styleId="29">
    <w:name w:val="Caption Char"/>
    <w:link w:val="8"/>
    <w:qFormat/>
    <w:uiPriority w:val="0"/>
    <w:rPr>
      <w:rFonts w:ascii="Times New Roman" w:hAnsi="Times New Roman"/>
      <w:b/>
      <w:bCs/>
      <w:lang w:val="en-GB" w:eastAsia="sv-SE"/>
    </w:rPr>
  </w:style>
  <w:style w:type="paragraph" w:customStyle="1" w:styleId="3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31">
    <w:name w:val="TAH"/>
    <w:basedOn w:val="32"/>
    <w:qFormat/>
    <w:uiPriority w:val="0"/>
    <w:rPr>
      <w:b/>
    </w:rPr>
  </w:style>
  <w:style w:type="paragraph" w:customStyle="1" w:styleId="32">
    <w:name w:val="TAC"/>
    <w:basedOn w:val="1"/>
    <w:link w:val="33"/>
    <w:uiPriority w:val="0"/>
    <w:pPr>
      <w:keepNext/>
      <w:keepLines/>
      <w:overflowPunct w:val="0"/>
      <w:autoSpaceDE w:val="0"/>
      <w:autoSpaceDN w:val="0"/>
      <w:adjustRightInd w:val="0"/>
      <w:spacing w:after="0" w:line="240" w:lineRule="auto"/>
      <w:jc w:val="center"/>
      <w:textAlignment w:val="baseline"/>
    </w:pPr>
    <w:rPr>
      <w:rFonts w:ascii="Arial" w:hAnsi="Arial" w:eastAsia="Times New Roman"/>
      <w:sz w:val="18"/>
      <w:szCs w:val="20"/>
      <w:lang w:val="en-GB" w:eastAsia="en-GB"/>
    </w:rPr>
  </w:style>
  <w:style w:type="character" w:customStyle="1" w:styleId="33">
    <w:name w:val="TAC Char"/>
    <w:link w:val="32"/>
    <w:qFormat/>
    <w:uiPriority w:val="0"/>
    <w:rPr>
      <w:rFonts w:ascii="Arial" w:hAnsi="Arial" w:eastAsia="Times New Roman"/>
      <w:sz w:val="18"/>
      <w:lang w:val="en-GB" w:eastAsia="en-GB"/>
    </w:rPr>
  </w:style>
  <w:style w:type="paragraph" w:customStyle="1" w:styleId="34">
    <w:name w:val="No Spacing1"/>
    <w:qFormat/>
    <w:uiPriority w:val="1"/>
    <w:pPr>
      <w:spacing w:after="200" w:line="276" w:lineRule="auto"/>
    </w:pPr>
    <w:rPr>
      <w:rFonts w:ascii="Calibri" w:hAnsi="Calibri" w:eastAsia="宋体" w:cs="Times New Roman"/>
      <w:sz w:val="22"/>
      <w:szCs w:val="22"/>
      <w:lang w:val="en-US" w:eastAsia="zh-CN" w:bidi="ar-SA"/>
    </w:rPr>
  </w:style>
  <w:style w:type="character" w:customStyle="1" w:styleId="35">
    <w:name w:val="word"/>
    <w:basedOn w:val="15"/>
    <w:qFormat/>
    <w:uiPriority w:val="0"/>
  </w:style>
  <w:style w:type="paragraph" w:customStyle="1" w:styleId="36">
    <w:name w:val="List Paragraph1"/>
    <w:basedOn w:val="1"/>
    <w:link w:val="61"/>
    <w:qFormat/>
    <w:uiPriority w:val="34"/>
    <w:pPr>
      <w:widowControl w:val="0"/>
      <w:spacing w:after="0" w:line="240" w:lineRule="auto"/>
      <w:ind w:firstLine="420" w:firstLineChars="200"/>
      <w:jc w:val="both"/>
    </w:pPr>
    <w:rPr>
      <w:kern w:val="2"/>
      <w:sz w:val="21"/>
    </w:rPr>
  </w:style>
  <w:style w:type="character" w:customStyle="1" w:styleId="37">
    <w:name w:val="Heading 3 Char"/>
    <w:link w:val="4"/>
    <w:qFormat/>
    <w:uiPriority w:val="0"/>
    <w:rPr>
      <w:b/>
      <w:bCs/>
      <w:sz w:val="32"/>
      <w:szCs w:val="32"/>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ja-JP" w:bidi="ar-SA"/>
    </w:rPr>
  </w:style>
  <w:style w:type="paragraph" w:customStyle="1" w:styleId="39">
    <w:name w:val="List Paragraph11"/>
    <w:basedOn w:val="1"/>
    <w:qFormat/>
    <w:uiPriority w:val="34"/>
    <w:pPr>
      <w:widowControl w:val="0"/>
      <w:spacing w:after="0" w:line="240" w:lineRule="auto"/>
      <w:ind w:firstLine="420" w:firstLineChars="200"/>
      <w:jc w:val="both"/>
    </w:pPr>
    <w:rPr>
      <w:kern w:val="2"/>
      <w:sz w:val="21"/>
    </w:rPr>
  </w:style>
  <w:style w:type="paragraph" w:customStyle="1" w:styleId="40">
    <w:name w:val="TAL"/>
    <w:basedOn w:val="1"/>
    <w:uiPriority w:val="0"/>
    <w:pPr>
      <w:keepNext/>
      <w:keepLines/>
      <w:spacing w:after="0" w:line="240" w:lineRule="auto"/>
    </w:pPr>
    <w:rPr>
      <w:rFonts w:ascii="Arial" w:hAnsi="Arial"/>
      <w:sz w:val="18"/>
      <w:szCs w:val="20"/>
      <w:lang w:val="en-GB" w:eastAsia="en-US"/>
    </w:rPr>
  </w:style>
  <w:style w:type="paragraph" w:customStyle="1" w:styleId="41">
    <w:name w:val="TH"/>
    <w:basedOn w:val="1"/>
    <w:link w:val="42"/>
    <w:qFormat/>
    <w:uiPriority w:val="0"/>
    <w:pPr>
      <w:keepNext/>
      <w:keepLines/>
      <w:spacing w:before="60" w:after="180" w:line="240" w:lineRule="auto"/>
      <w:jc w:val="center"/>
    </w:pPr>
    <w:rPr>
      <w:rFonts w:ascii="Arial" w:hAnsi="Arial"/>
      <w:b/>
      <w:szCs w:val="20"/>
      <w:lang w:val="en-GB" w:eastAsia="en-US"/>
    </w:rPr>
  </w:style>
  <w:style w:type="character" w:customStyle="1" w:styleId="42">
    <w:name w:val="TH Char"/>
    <w:link w:val="41"/>
    <w:qFormat/>
    <w:uiPriority w:val="0"/>
    <w:rPr>
      <w:rFonts w:ascii="Arial" w:hAnsi="Arial"/>
      <w:b/>
      <w:lang w:val="en-GB" w:eastAsia="en-US"/>
    </w:rPr>
  </w:style>
  <w:style w:type="paragraph" w:customStyle="1" w:styleId="43">
    <w:name w:val="TF"/>
    <w:basedOn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44">
    <w:name w:val="Normal with indent"/>
    <w:basedOn w:val="1"/>
    <w:link w:val="45"/>
    <w:qFormat/>
    <w:uiPriority w:val="0"/>
    <w:pPr>
      <w:spacing w:line="336" w:lineRule="auto"/>
      <w:ind w:firstLine="397"/>
      <w:jc w:val="both"/>
    </w:pPr>
    <w:rPr>
      <w:rFonts w:eastAsia="Malgun Gothic"/>
      <w:szCs w:val="20"/>
      <w:lang w:val="en-GB" w:eastAsia="ko-KR"/>
    </w:rPr>
  </w:style>
  <w:style w:type="character" w:customStyle="1" w:styleId="45">
    <w:name w:val="Normal with indent Char"/>
    <w:link w:val="44"/>
    <w:uiPriority w:val="0"/>
    <w:rPr>
      <w:rFonts w:ascii="Times New Roman" w:hAnsi="Times New Roman" w:eastAsia="Malgun Gothic"/>
      <w:lang w:val="en-GB" w:eastAsia="ko-KR"/>
    </w:rPr>
  </w:style>
  <w:style w:type="paragraph" w:customStyle="1" w:styleId="46">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47">
    <w:name w:val="PaperTableCell"/>
    <w:basedOn w:val="1"/>
    <w:qFormat/>
    <w:uiPriority w:val="0"/>
    <w:pPr>
      <w:spacing w:after="0" w:line="240" w:lineRule="auto"/>
      <w:jc w:val="both"/>
    </w:pPr>
    <w:rPr>
      <w:rFonts w:eastAsia="Times New Roman"/>
      <w:sz w:val="16"/>
      <w:szCs w:val="24"/>
      <w:lang w:eastAsia="en-US"/>
    </w:rPr>
  </w:style>
  <w:style w:type="character" w:customStyle="1" w:styleId="48">
    <w:name w:val="apple-style-span"/>
    <w:basedOn w:val="15"/>
    <w:qFormat/>
    <w:uiPriority w:val="0"/>
  </w:style>
  <w:style w:type="character" w:customStyle="1" w:styleId="49">
    <w:name w:val="apple-converted-space"/>
    <w:basedOn w:val="15"/>
    <w:qFormat/>
    <w:uiPriority w:val="0"/>
  </w:style>
  <w:style w:type="character" w:customStyle="1" w:styleId="50">
    <w:name w:val="high-light"/>
    <w:basedOn w:val="15"/>
    <w:qFormat/>
    <w:uiPriority w:val="0"/>
  </w:style>
  <w:style w:type="paragraph" w:customStyle="1" w:styleId="51">
    <w:name w:val="Default"/>
    <w:qFormat/>
    <w:uiPriority w:val="0"/>
    <w:pPr>
      <w:widowControl w:val="0"/>
      <w:autoSpaceDE w:val="0"/>
      <w:autoSpaceDN w:val="0"/>
      <w:adjustRightInd w:val="0"/>
      <w:spacing w:after="200" w:line="276" w:lineRule="auto"/>
    </w:pPr>
    <w:rPr>
      <w:rFonts w:ascii="Arial" w:hAnsi="Arial" w:eastAsia="宋体" w:cs="Arial"/>
      <w:color w:val="000000"/>
      <w:sz w:val="24"/>
      <w:szCs w:val="24"/>
      <w:lang w:val="en-US" w:eastAsia="zh-CN" w:bidi="ar-SA"/>
    </w:rPr>
  </w:style>
  <w:style w:type="paragraph" w:customStyle="1" w:styleId="52">
    <w:name w:val="样式 正文缩进d + 首行缩进:  2 字符 段前: 0.35 行"/>
    <w:basedOn w:val="7"/>
    <w:link w:val="53"/>
    <w:qFormat/>
    <w:uiPriority w:val="0"/>
    <w:pPr>
      <w:adjustRightInd w:val="0"/>
      <w:snapToGrid w:val="0"/>
      <w:spacing w:beforeLines="35" w:line="460" w:lineRule="exact"/>
      <w:ind w:firstLine="560" w:firstLineChars="200"/>
      <w:textAlignment w:val="baseline"/>
    </w:pPr>
    <w:rPr>
      <w:rFonts w:eastAsia="KaiTi_GB2312" w:cs="宋体"/>
      <w:snapToGrid w:val="0"/>
      <w:kern w:val="0"/>
      <w:sz w:val="28"/>
    </w:rPr>
  </w:style>
  <w:style w:type="character" w:customStyle="1" w:styleId="53">
    <w:name w:val="样式 正文缩进d + 首行缩进:  2 字符 段前: 0.35 行 Char"/>
    <w:basedOn w:val="15"/>
    <w:link w:val="52"/>
    <w:qFormat/>
    <w:uiPriority w:val="0"/>
    <w:rPr>
      <w:rFonts w:ascii="Times New Roman" w:hAnsi="Times New Roman" w:eastAsia="KaiTi_GB2312" w:cs="宋体"/>
      <w:snapToGrid w:val="0"/>
      <w:sz w:val="28"/>
    </w:rPr>
  </w:style>
  <w:style w:type="paragraph" w:customStyle="1" w:styleId="54">
    <w:name w:val="스타일 스타일 스타일 스타일 양쪽 첫 줄:  2 글자 + 첫 줄:  2 글자 + 첫 줄:  2 글자 + 첫 줄:  2..."/>
    <w:basedOn w:val="1"/>
    <w:link w:val="55"/>
    <w:qFormat/>
    <w:uiPriority w:val="0"/>
    <w:pPr>
      <w:spacing w:after="180" w:line="336" w:lineRule="auto"/>
      <w:ind w:firstLine="200" w:firstLineChars="200"/>
      <w:jc w:val="both"/>
    </w:pPr>
    <w:rPr>
      <w:rFonts w:eastAsia="Malgun Gothic" w:cs="Batang"/>
      <w:szCs w:val="20"/>
      <w:lang w:val="en-GB" w:eastAsia="en-US"/>
    </w:rPr>
  </w:style>
  <w:style w:type="character" w:customStyle="1" w:styleId="55">
    <w:name w:val="스타일 스타일 스타일 스타일 양쪽 첫 줄:  2 글자 + 첫 줄:  2 글자 + 첫 줄:  2 글자 + 첫 줄:  2... Char"/>
    <w:basedOn w:val="15"/>
    <w:link w:val="54"/>
    <w:qFormat/>
    <w:uiPriority w:val="0"/>
    <w:rPr>
      <w:rFonts w:ascii="Times New Roman" w:hAnsi="Times New Roman" w:eastAsia="Malgun Gothic" w:cs="Batang"/>
      <w:lang w:val="en-GB" w:eastAsia="en-US"/>
    </w:rPr>
  </w:style>
  <w:style w:type="paragraph" w:customStyle="1" w:styleId="56">
    <w:name w:val="main text"/>
    <w:basedOn w:val="1"/>
    <w:qFormat/>
    <w:uiPriority w:val="0"/>
    <w:pPr>
      <w:spacing w:before="60" w:after="60" w:line="288" w:lineRule="auto"/>
      <w:ind w:firstLine="200" w:firstLineChars="200"/>
      <w:jc w:val="both"/>
    </w:pPr>
    <w:rPr>
      <w:rFonts w:eastAsia="Malgun Gothic"/>
      <w:szCs w:val="20"/>
      <w:lang w:val="en-GB" w:eastAsia="ko-KR"/>
    </w:rPr>
  </w:style>
  <w:style w:type="character" w:customStyle="1" w:styleId="57">
    <w:name w:val="Heading 2 Char"/>
    <w:basedOn w:val="15"/>
    <w:link w:val="3"/>
    <w:qFormat/>
    <w:uiPriority w:val="9"/>
    <w:rPr>
      <w:rFonts w:ascii="Cambria" w:hAnsi="Cambria"/>
      <w:b/>
      <w:bCs/>
      <w:sz w:val="32"/>
      <w:szCs w:val="32"/>
    </w:rPr>
  </w:style>
  <w:style w:type="paragraph" w:customStyle="1" w:styleId="58">
    <w:name w:val="样式4"/>
    <w:basedOn w:val="2"/>
    <w:qFormat/>
    <w:uiPriority w:val="0"/>
    <w:pPr>
      <w:keepNext/>
      <w:keepLines/>
      <w:widowControl/>
      <w:numPr>
        <w:ilvl w:val="0"/>
        <w:numId w:val="3"/>
      </w:numPr>
      <w:tabs>
        <w:tab w:val="left" w:pos="426"/>
      </w:tabs>
      <w:overflowPunct w:val="0"/>
      <w:spacing w:before="240" w:after="120" w:line="288" w:lineRule="auto"/>
      <w:jc w:val="both"/>
      <w:textAlignment w:val="baseline"/>
    </w:pPr>
    <w:rPr>
      <w:rFonts w:eastAsia="宋体"/>
      <w:sz w:val="24"/>
      <w:szCs w:val="24"/>
      <w:lang w:val="en-US"/>
    </w:rPr>
  </w:style>
  <w:style w:type="paragraph" w:customStyle="1" w:styleId="59">
    <w:name w:val="baseStyleRight"/>
    <w:basedOn w:val="1"/>
    <w:qFormat/>
    <w:uiPriority w:val="0"/>
    <w:pPr>
      <w:spacing w:after="180" w:line="240" w:lineRule="auto"/>
      <w:jc w:val="right"/>
    </w:pPr>
    <w:rPr>
      <w:rFonts w:eastAsia="Times New Roman"/>
      <w:szCs w:val="20"/>
      <w:lang w:eastAsia="en-US"/>
    </w:rPr>
  </w:style>
  <w:style w:type="paragraph" w:customStyle="1" w:styleId="60">
    <w:name w:val="references"/>
    <w:qFormat/>
    <w:uiPriority w:val="0"/>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61">
    <w:name w:val="列出段落 Char"/>
    <w:link w:val="36"/>
    <w:locked/>
    <w:uiPriority w:val="34"/>
    <w:rPr>
      <w:kern w:val="2"/>
      <w:sz w:val="21"/>
      <w:szCs w:val="22"/>
    </w:rPr>
  </w:style>
  <w:style w:type="character" w:customStyle="1" w:styleId="62">
    <w:name w:val="def"/>
    <w:basedOn w:val="15"/>
    <w:qFormat/>
    <w:uiPriority w:val="0"/>
  </w:style>
  <w:style w:type="paragraph" w:customStyle="1" w:styleId="63">
    <w:name w:val="References"/>
    <w:basedOn w:val="1"/>
    <w:qFormat/>
    <w:uiPriority w:val="0"/>
    <w:pPr>
      <w:numPr>
        <w:ilvl w:val="0"/>
        <w:numId w:val="5"/>
      </w:numPr>
      <w:autoSpaceDE w:val="0"/>
      <w:autoSpaceDN w:val="0"/>
      <w:snapToGrid w:val="0"/>
      <w:spacing w:before="0" w:after="60" w:line="240" w:lineRule="auto"/>
      <w:jc w:val="both"/>
    </w:pPr>
    <w:rPr>
      <w:szCs w:val="16"/>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4085AB-DF2E-405F-A114-9636E9108BC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1358</Words>
  <Characters>7743</Characters>
  <Lines>64</Lines>
  <Paragraphs>18</Paragraphs>
  <TotalTime>0</TotalTime>
  <ScaleCrop>false</ScaleCrop>
  <LinksUpToDate>false</LinksUpToDate>
  <CharactersWithSpaces>9083</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2017-02-03T08:07:00Z</dcterms:created>
  <dc:creator>ZTE</dc:creator>
  <cp:lastModifiedBy>Zhisong Zuo</cp:lastModifiedBy>
  <dcterms:modified xsi:type="dcterms:W3CDTF">2017-05-05T13:36:33Z</dcterms:modified>
  <dc:title>3GPP TSG-RAN WG1 #70</dc:title>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